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537C" w14:textId="1E045F7B" w:rsidR="00A23989" w:rsidRPr="00E36213" w:rsidRDefault="002B5333" w:rsidP="0013623E">
      <w:pPr>
        <w:jc w:val="center"/>
        <w:rPr>
          <w:szCs w:val="22"/>
          <w:lang w:val="fr-FR"/>
        </w:rPr>
      </w:pPr>
      <w:bookmarkStart w:id="0" w:name="0-heading-nodeId--245097714"/>
      <w:r w:rsidRPr="00E36213">
        <w:rPr>
          <w:b/>
          <w:szCs w:val="22"/>
          <w:lang w:val="fr-FR"/>
        </w:rPr>
        <w:t>OPPOSITION N</w:t>
      </w:r>
      <w:r w:rsidRPr="00E36213">
        <w:rPr>
          <w:b/>
          <w:szCs w:val="22"/>
        </w:rPr>
        <w:t>о</w:t>
      </w:r>
      <w:r w:rsidRPr="00E36213">
        <w:rPr>
          <w:b/>
          <w:szCs w:val="22"/>
          <w:lang w:val="fr-FR"/>
        </w:rPr>
        <w:t> B 3 229 304</w:t>
      </w:r>
    </w:p>
    <w:p w14:paraId="3E39537D" w14:textId="05E3539E" w:rsidR="00A23989" w:rsidRPr="00E36213" w:rsidRDefault="002B5333" w:rsidP="0013623E">
      <w:pPr>
        <w:jc w:val="center"/>
        <w:rPr>
          <w:szCs w:val="22"/>
          <w:lang w:val="fr-FR"/>
        </w:rPr>
      </w:pPr>
      <w:r w:rsidRPr="00E36213">
        <w:rPr>
          <w:szCs w:val="22"/>
          <w:lang w:val="fr-FR"/>
        </w:rPr>
        <w:t> </w:t>
      </w:r>
    </w:p>
    <w:p w14:paraId="3E39537E" w14:textId="3FEC7C97" w:rsidR="00A23989" w:rsidRPr="00E36213" w:rsidRDefault="002B5333" w:rsidP="0013623E">
      <w:pPr>
        <w:jc w:val="both"/>
        <w:rPr>
          <w:szCs w:val="22"/>
          <w:lang w:val="fr-FR"/>
        </w:rPr>
      </w:pPr>
      <w:r w:rsidRPr="00E36213">
        <w:rPr>
          <w:b/>
          <w:szCs w:val="22"/>
          <w:lang w:val="fr-FR"/>
        </w:rPr>
        <w:t>Chanel</w:t>
      </w:r>
      <w:r w:rsidR="009D2335" w:rsidRPr="00E36213">
        <w:rPr>
          <w:b/>
          <w:szCs w:val="22"/>
          <w:lang w:val="fr-FR"/>
        </w:rPr>
        <w:t xml:space="preserve"> SAS, société par actions simplifiée</w:t>
      </w:r>
      <w:r w:rsidRPr="00E36213">
        <w:rPr>
          <w:szCs w:val="22"/>
          <w:lang w:val="fr-FR"/>
        </w:rPr>
        <w:t>,</w:t>
      </w:r>
      <w:r w:rsidR="009D2335" w:rsidRPr="00E36213">
        <w:rPr>
          <w:szCs w:val="22"/>
          <w:lang w:val="fr-FR"/>
        </w:rPr>
        <w:t xml:space="preserve"> </w:t>
      </w:r>
      <w:r w:rsidRPr="00E36213">
        <w:rPr>
          <w:szCs w:val="22"/>
          <w:lang w:val="fr-FR"/>
        </w:rPr>
        <w:t>135, avenue Charles de Gaulle, 92200 Neuilly sur Seine, France (</w:t>
      </w:r>
      <w:proofErr w:type="spellStart"/>
      <w:r w:rsidRPr="00E36213">
        <w:rPr>
          <w:szCs w:val="22"/>
          <w:lang w:val="fr-FR"/>
        </w:rPr>
        <w:t>opponent</w:t>
      </w:r>
      <w:proofErr w:type="spellEnd"/>
      <w:r w:rsidRPr="00E36213">
        <w:rPr>
          <w:szCs w:val="22"/>
          <w:lang w:val="fr-FR"/>
        </w:rPr>
        <w:t xml:space="preserve">), </w:t>
      </w:r>
      <w:proofErr w:type="spellStart"/>
      <w:r w:rsidRPr="00E36213">
        <w:rPr>
          <w:szCs w:val="22"/>
          <w:lang w:val="fr-FR"/>
        </w:rPr>
        <w:t>represented</w:t>
      </w:r>
      <w:proofErr w:type="spellEnd"/>
      <w:r w:rsidRPr="00E36213">
        <w:rPr>
          <w:szCs w:val="22"/>
          <w:lang w:val="fr-FR"/>
        </w:rPr>
        <w:t xml:space="preserve"> by</w:t>
      </w:r>
      <w:r w:rsidR="009D2335" w:rsidRPr="00E36213">
        <w:rPr>
          <w:szCs w:val="22"/>
          <w:lang w:val="fr-FR"/>
        </w:rPr>
        <w:t xml:space="preserve"> </w:t>
      </w:r>
      <w:r w:rsidRPr="00E36213">
        <w:rPr>
          <w:b/>
          <w:szCs w:val="22"/>
          <w:lang w:val="fr-FR"/>
        </w:rPr>
        <w:t>Noelia Martinez</w:t>
      </w:r>
      <w:r w:rsidRPr="00E36213">
        <w:rPr>
          <w:szCs w:val="22"/>
          <w:lang w:val="fr-FR"/>
        </w:rPr>
        <w:t xml:space="preserve">, 135 avenue Charles de Gaulle, 92200 </w:t>
      </w:r>
      <w:r w:rsidR="009D2335" w:rsidRPr="00E36213">
        <w:rPr>
          <w:szCs w:val="22"/>
          <w:lang w:val="fr-FR"/>
        </w:rPr>
        <w:t>Neuilly sur Seine</w:t>
      </w:r>
      <w:r w:rsidRPr="00E36213">
        <w:rPr>
          <w:szCs w:val="22"/>
          <w:lang w:val="fr-FR"/>
        </w:rPr>
        <w:t>, France (</w:t>
      </w:r>
      <w:proofErr w:type="spellStart"/>
      <w:r w:rsidRPr="00E36213">
        <w:rPr>
          <w:szCs w:val="22"/>
          <w:lang w:val="fr-FR"/>
        </w:rPr>
        <w:t>employee</w:t>
      </w:r>
      <w:proofErr w:type="spellEnd"/>
      <w:r w:rsidRPr="00E36213">
        <w:rPr>
          <w:szCs w:val="22"/>
          <w:lang w:val="fr-FR"/>
        </w:rPr>
        <w:t>) </w:t>
      </w:r>
      <w:r w:rsidR="009D2335" w:rsidRPr="00E36213">
        <w:rPr>
          <w:szCs w:val="22"/>
          <w:lang w:val="fr-FR"/>
        </w:rPr>
        <w:t xml:space="preserve"> </w:t>
      </w:r>
    </w:p>
    <w:p w14:paraId="3E39537F" w14:textId="046F0E39" w:rsidR="00A23989" w:rsidRPr="00E36213" w:rsidRDefault="002B5333" w:rsidP="0013623E">
      <w:pPr>
        <w:jc w:val="both"/>
        <w:rPr>
          <w:szCs w:val="22"/>
          <w:lang w:val="fr-FR"/>
        </w:rPr>
      </w:pPr>
      <w:r w:rsidRPr="00E36213">
        <w:rPr>
          <w:szCs w:val="22"/>
          <w:lang w:val="fr-FR"/>
        </w:rPr>
        <w:t> </w:t>
      </w:r>
    </w:p>
    <w:p w14:paraId="3E395380" w14:textId="0B3644C7" w:rsidR="00A23989" w:rsidRPr="00E36213" w:rsidRDefault="002B5333" w:rsidP="0013623E">
      <w:pPr>
        <w:jc w:val="center"/>
        <w:rPr>
          <w:szCs w:val="22"/>
        </w:rPr>
      </w:pPr>
      <w:r w:rsidRPr="00E36213">
        <w:rPr>
          <w:szCs w:val="22"/>
        </w:rPr>
        <w:t>a g a</w:t>
      </w:r>
      <w:r w:rsidR="00E36213" w:rsidRPr="00E36213">
        <w:rPr>
          <w:szCs w:val="22"/>
        </w:rPr>
        <w:t xml:space="preserve"> </w:t>
      </w:r>
      <w:proofErr w:type="spellStart"/>
      <w:proofErr w:type="gramStart"/>
      <w:r w:rsidRPr="00E36213">
        <w:rPr>
          <w:szCs w:val="22"/>
        </w:rPr>
        <w:t>i</w:t>
      </w:r>
      <w:proofErr w:type="spellEnd"/>
      <w:r w:rsidR="00E36213" w:rsidRPr="00E36213">
        <w:rPr>
          <w:szCs w:val="22"/>
        </w:rPr>
        <w:t xml:space="preserve"> </w:t>
      </w:r>
      <w:r w:rsidRPr="00E36213">
        <w:rPr>
          <w:szCs w:val="22"/>
        </w:rPr>
        <w:t>n</w:t>
      </w:r>
      <w:proofErr w:type="gramEnd"/>
      <w:r w:rsidRPr="00E36213">
        <w:rPr>
          <w:szCs w:val="22"/>
        </w:rPr>
        <w:t xml:space="preserve"> s t</w:t>
      </w:r>
    </w:p>
    <w:p w14:paraId="3E395381" w14:textId="6380485B" w:rsidR="00A23989" w:rsidRPr="00E36213" w:rsidRDefault="002B5333" w:rsidP="0013623E">
      <w:pPr>
        <w:jc w:val="center"/>
        <w:rPr>
          <w:szCs w:val="22"/>
        </w:rPr>
      </w:pPr>
      <w:r w:rsidRPr="00E36213">
        <w:rPr>
          <w:szCs w:val="22"/>
        </w:rPr>
        <w:t> </w:t>
      </w:r>
    </w:p>
    <w:p w14:paraId="1158DF5D" w14:textId="77777777" w:rsidR="00E36213" w:rsidRPr="00E36213" w:rsidRDefault="002B5333" w:rsidP="0013623E">
      <w:pPr>
        <w:jc w:val="both"/>
        <w:rPr>
          <w:szCs w:val="22"/>
        </w:rPr>
      </w:pPr>
      <w:r w:rsidRPr="00E36213">
        <w:rPr>
          <w:b/>
          <w:szCs w:val="22"/>
        </w:rPr>
        <w:t>Chuanli Xing</w:t>
      </w:r>
      <w:r w:rsidRPr="00E36213">
        <w:rPr>
          <w:szCs w:val="22"/>
        </w:rPr>
        <w:t xml:space="preserve">, No. 5 Hewan Village, </w:t>
      </w:r>
      <w:proofErr w:type="spellStart"/>
      <w:r w:rsidRPr="00E36213">
        <w:rPr>
          <w:szCs w:val="22"/>
        </w:rPr>
        <w:t>Dongshuanghe</w:t>
      </w:r>
      <w:proofErr w:type="spellEnd"/>
      <w:r w:rsidRPr="00E36213">
        <w:rPr>
          <w:szCs w:val="22"/>
        </w:rPr>
        <w:t xml:space="preserve"> Town, </w:t>
      </w:r>
      <w:proofErr w:type="spellStart"/>
      <w:r w:rsidRPr="00E36213">
        <w:rPr>
          <w:szCs w:val="22"/>
        </w:rPr>
        <w:t>Shihe</w:t>
      </w:r>
      <w:proofErr w:type="spellEnd"/>
      <w:r w:rsidRPr="00E36213">
        <w:rPr>
          <w:szCs w:val="22"/>
        </w:rPr>
        <w:t xml:space="preserve"> District, Xinyang City, Henan Province, China (applicant), represented by</w:t>
      </w:r>
      <w:r w:rsidR="009D2335" w:rsidRPr="00E36213">
        <w:rPr>
          <w:szCs w:val="22"/>
        </w:rPr>
        <w:t xml:space="preserve"> </w:t>
      </w:r>
      <w:proofErr w:type="spellStart"/>
      <w:r w:rsidRPr="00E36213">
        <w:rPr>
          <w:b/>
          <w:szCs w:val="22"/>
        </w:rPr>
        <w:t>Intermark</w:t>
      </w:r>
      <w:proofErr w:type="spellEnd"/>
      <w:r w:rsidRPr="00E36213">
        <w:rPr>
          <w:b/>
          <w:szCs w:val="22"/>
        </w:rPr>
        <w:t xml:space="preserve"> </w:t>
      </w:r>
      <w:proofErr w:type="spellStart"/>
      <w:r w:rsidRPr="00E36213">
        <w:rPr>
          <w:b/>
          <w:szCs w:val="22"/>
        </w:rPr>
        <w:t>Patentes</w:t>
      </w:r>
      <w:proofErr w:type="spellEnd"/>
      <w:r w:rsidRPr="00E36213">
        <w:rPr>
          <w:b/>
          <w:szCs w:val="22"/>
        </w:rPr>
        <w:t xml:space="preserve"> </w:t>
      </w:r>
      <w:r w:rsidR="009D2335" w:rsidRPr="00E36213">
        <w:rPr>
          <w:b/>
          <w:szCs w:val="22"/>
        </w:rPr>
        <w:t>y</w:t>
      </w:r>
      <w:r w:rsidRPr="00E36213">
        <w:rPr>
          <w:b/>
          <w:szCs w:val="22"/>
        </w:rPr>
        <w:t xml:space="preserve"> Marcas, S.L.P. (</w:t>
      </w:r>
      <w:r w:rsidR="009D2335" w:rsidRPr="00E36213">
        <w:rPr>
          <w:b/>
          <w:szCs w:val="22"/>
        </w:rPr>
        <w:t>a</w:t>
      </w:r>
      <w:r w:rsidRPr="00E36213">
        <w:rPr>
          <w:b/>
          <w:szCs w:val="22"/>
        </w:rPr>
        <w:t xml:space="preserve">lso </w:t>
      </w:r>
      <w:r w:rsidR="009D2335" w:rsidRPr="00E36213">
        <w:rPr>
          <w:b/>
          <w:szCs w:val="22"/>
        </w:rPr>
        <w:t>t</w:t>
      </w:r>
      <w:r w:rsidRPr="00E36213">
        <w:rPr>
          <w:b/>
          <w:szCs w:val="22"/>
        </w:rPr>
        <w:t xml:space="preserve">rading </w:t>
      </w:r>
      <w:r w:rsidR="009D2335" w:rsidRPr="00E36213">
        <w:rPr>
          <w:b/>
          <w:szCs w:val="22"/>
        </w:rPr>
        <w:t>a</w:t>
      </w:r>
      <w:r w:rsidRPr="00E36213">
        <w:rPr>
          <w:b/>
          <w:szCs w:val="22"/>
        </w:rPr>
        <w:t xml:space="preserve">s </w:t>
      </w:r>
      <w:proofErr w:type="spellStart"/>
      <w:r w:rsidRPr="00E36213">
        <w:rPr>
          <w:b/>
          <w:szCs w:val="22"/>
        </w:rPr>
        <w:t>Lidermark</w:t>
      </w:r>
      <w:proofErr w:type="spellEnd"/>
      <w:r w:rsidRPr="00E36213">
        <w:rPr>
          <w:b/>
          <w:szCs w:val="22"/>
        </w:rPr>
        <w:t xml:space="preserve"> </w:t>
      </w:r>
      <w:proofErr w:type="spellStart"/>
      <w:r w:rsidRPr="00E36213">
        <w:rPr>
          <w:b/>
          <w:szCs w:val="22"/>
        </w:rPr>
        <w:t>Patentes</w:t>
      </w:r>
      <w:proofErr w:type="spellEnd"/>
      <w:r w:rsidRPr="00E36213">
        <w:rPr>
          <w:b/>
          <w:szCs w:val="22"/>
        </w:rPr>
        <w:t xml:space="preserve"> </w:t>
      </w:r>
      <w:r w:rsidR="009D2335" w:rsidRPr="00E36213">
        <w:rPr>
          <w:b/>
          <w:szCs w:val="22"/>
        </w:rPr>
        <w:t>y</w:t>
      </w:r>
      <w:r w:rsidRPr="00E36213">
        <w:rPr>
          <w:b/>
          <w:szCs w:val="22"/>
        </w:rPr>
        <w:t xml:space="preserve"> Marcas)</w:t>
      </w:r>
      <w:r w:rsidRPr="00E36213">
        <w:rPr>
          <w:szCs w:val="22"/>
        </w:rPr>
        <w:t>,</w:t>
      </w:r>
      <w:r w:rsidR="009D2335" w:rsidRPr="00E36213">
        <w:rPr>
          <w:szCs w:val="22"/>
        </w:rPr>
        <w:t xml:space="preserve"> </w:t>
      </w:r>
      <w:r w:rsidRPr="00E36213">
        <w:rPr>
          <w:szCs w:val="22"/>
        </w:rPr>
        <w:t>C/</w:t>
      </w:r>
      <w:r w:rsidR="00715198" w:rsidRPr="00E36213">
        <w:rPr>
          <w:szCs w:val="22"/>
        </w:rPr>
        <w:t>O</w:t>
      </w:r>
      <w:r w:rsidRPr="00E36213">
        <w:rPr>
          <w:szCs w:val="22"/>
        </w:rPr>
        <w:t>bispo Frutos, 1</w:t>
      </w:r>
      <w:r w:rsidR="009D2335" w:rsidRPr="00E36213">
        <w:rPr>
          <w:szCs w:val="22"/>
        </w:rPr>
        <w:t>B</w:t>
      </w:r>
      <w:r w:rsidRPr="00E36213">
        <w:rPr>
          <w:szCs w:val="22"/>
        </w:rPr>
        <w:t xml:space="preserve"> 2°</w:t>
      </w:r>
      <w:r w:rsidR="009D2335" w:rsidRPr="00E36213">
        <w:rPr>
          <w:szCs w:val="22"/>
        </w:rPr>
        <w:t>A</w:t>
      </w:r>
      <w:r w:rsidRPr="00E36213">
        <w:rPr>
          <w:szCs w:val="22"/>
        </w:rPr>
        <w:t>, 30003 Murcia,</w:t>
      </w:r>
      <w:r w:rsidR="009D2335" w:rsidRPr="00E36213">
        <w:rPr>
          <w:szCs w:val="22"/>
        </w:rPr>
        <w:t xml:space="preserve"> </w:t>
      </w:r>
      <w:r w:rsidRPr="00E36213">
        <w:rPr>
          <w:szCs w:val="22"/>
        </w:rPr>
        <w:t>Spain</w:t>
      </w:r>
      <w:r w:rsidR="009D2335" w:rsidRPr="00E36213">
        <w:rPr>
          <w:szCs w:val="22"/>
        </w:rPr>
        <w:t xml:space="preserve"> </w:t>
      </w:r>
      <w:r w:rsidRPr="00E36213">
        <w:rPr>
          <w:szCs w:val="22"/>
        </w:rPr>
        <w:t>(professional representative)</w:t>
      </w:r>
      <w:r w:rsidR="009D2335" w:rsidRPr="00E36213">
        <w:rPr>
          <w:szCs w:val="22"/>
        </w:rPr>
        <w:t xml:space="preserve"> </w:t>
      </w:r>
    </w:p>
    <w:p w14:paraId="3E395384" w14:textId="197DBC11" w:rsidR="00E36213" w:rsidRPr="00E36213" w:rsidRDefault="00E36213" w:rsidP="0013623E">
      <w:pPr>
        <w:jc w:val="both"/>
        <w:rPr>
          <w:szCs w:val="22"/>
        </w:rPr>
      </w:pPr>
    </w:p>
    <w:p w14:paraId="2E5F2F19" w14:textId="77777777" w:rsidR="00A23989" w:rsidRPr="00E36213" w:rsidRDefault="00E36213" w:rsidP="0013623E">
      <w:pPr>
        <w:rPr>
          <w:szCs w:val="22"/>
        </w:rPr>
      </w:pPr>
      <w:r w:rsidRPr="00E36213">
        <w:rPr>
          <w:szCs w:val="22"/>
        </w:rPr>
        <w:t>On 16/09/2025, the Opposition Division takes the following</w:t>
      </w:r>
    </w:p>
    <w:p w14:paraId="3E395388" w14:textId="77777777" w:rsidR="00A23989" w:rsidRPr="00E36213" w:rsidRDefault="00A23989" w:rsidP="0013623E">
      <w:pPr>
        <w:jc w:val="both"/>
        <w:rPr>
          <w:szCs w:val="22"/>
        </w:rPr>
      </w:pPr>
    </w:p>
    <w:p w14:paraId="3E395389" w14:textId="22BD8BFF" w:rsidR="00A23989" w:rsidRPr="00E36213" w:rsidRDefault="00A23989" w:rsidP="0013623E">
      <w:pPr>
        <w:rPr>
          <w:szCs w:val="22"/>
        </w:rPr>
      </w:pPr>
    </w:p>
    <w:p w14:paraId="3E39538A" w14:textId="77777777" w:rsidR="00A23989" w:rsidRPr="00E36213" w:rsidRDefault="002B5333" w:rsidP="0013623E">
      <w:pPr>
        <w:jc w:val="center"/>
        <w:rPr>
          <w:szCs w:val="22"/>
        </w:rPr>
      </w:pPr>
      <w:r w:rsidRPr="00E36213">
        <w:rPr>
          <w:b/>
          <w:szCs w:val="22"/>
        </w:rPr>
        <w:t>DECISION:</w:t>
      </w:r>
    </w:p>
    <w:p w14:paraId="3E39538C" w14:textId="57B92F5E" w:rsidR="00A23989" w:rsidRPr="00E36213" w:rsidRDefault="002B5333" w:rsidP="0013623E">
      <w:pPr>
        <w:rPr>
          <w:szCs w:val="22"/>
        </w:rPr>
      </w:pPr>
      <w:r w:rsidRPr="00E36213">
        <w:rPr>
          <w:szCs w:val="22"/>
        </w:rPr>
        <w:t> </w:t>
      </w:r>
      <w:bookmarkStart w:id="1" w:name="chk-paragraph-2_nodeId-1551785101"/>
      <w:bookmarkEnd w:id="0"/>
    </w:p>
    <w:tbl>
      <w:tblPr>
        <w:tblW w:w="0" w:type="auto"/>
        <w:tblCellSpacing w:w="0" w:type="auto"/>
        <w:tblLook w:val="04A0" w:firstRow="1" w:lastRow="0" w:firstColumn="1" w:lastColumn="0" w:noHBand="0" w:noVBand="1"/>
      </w:tblPr>
      <w:tblGrid>
        <w:gridCol w:w="476"/>
        <w:gridCol w:w="8551"/>
      </w:tblGrid>
      <w:tr w:rsidR="00A23989" w:rsidRPr="00E36213" w14:paraId="3E39538F" w14:textId="77777777">
        <w:trPr>
          <w:trHeight w:val="30"/>
          <w:tblCellSpacing w:w="0" w:type="auto"/>
        </w:trPr>
        <w:tc>
          <w:tcPr>
            <w:tcW w:w="640" w:type="dxa"/>
            <w:tcMar>
              <w:top w:w="15" w:type="dxa"/>
              <w:left w:w="15" w:type="dxa"/>
              <w:bottom w:w="15" w:type="dxa"/>
              <w:right w:w="15" w:type="dxa"/>
            </w:tcMar>
          </w:tcPr>
          <w:p w14:paraId="3E39538D" w14:textId="6E06A74A" w:rsidR="00A23989" w:rsidRPr="00B31673" w:rsidRDefault="002B5333" w:rsidP="0013623E">
            <w:pPr>
              <w:jc w:val="both"/>
              <w:rPr>
                <w:szCs w:val="22"/>
                <w14:shadow w14:blurRad="50800" w14:dist="38100" w14:dir="2700000" w14:sx="100000" w14:sy="100000" w14:kx="0" w14:ky="0" w14:algn="tl">
                  <w14:srgbClr w14:val="000000">
                    <w14:alpha w14:val="60000"/>
                  </w14:srgbClr>
                </w14:shadow>
              </w:rPr>
            </w:pPr>
            <w:bookmarkStart w:id="2" w:name="chk-paragraph-2-1_nodeId--1267695376"/>
            <w:bookmarkEnd w:id="1"/>
            <w:r w:rsidRPr="00E36213">
              <w:rPr>
                <w:b/>
                <w:szCs w:val="22"/>
              </w:rPr>
              <w:t>1.</w:t>
            </w:r>
          </w:p>
        </w:tc>
        <w:tc>
          <w:tcPr>
            <w:tcW w:w="13154" w:type="dxa"/>
            <w:tcMar>
              <w:top w:w="15" w:type="dxa"/>
              <w:left w:w="15" w:type="dxa"/>
              <w:bottom w:w="15" w:type="dxa"/>
              <w:right w:w="15" w:type="dxa"/>
            </w:tcMar>
          </w:tcPr>
          <w:p w14:paraId="3E39538E" w14:textId="0054A3F4" w:rsidR="00A23989" w:rsidRPr="00E36213" w:rsidRDefault="002B5333" w:rsidP="0013623E">
            <w:pPr>
              <w:jc w:val="both"/>
              <w:rPr>
                <w:szCs w:val="22"/>
              </w:rPr>
            </w:pPr>
            <w:r w:rsidRPr="00E36213">
              <w:rPr>
                <w:szCs w:val="22"/>
              </w:rPr>
              <w:t>Opposition No</w:t>
            </w:r>
            <w:r w:rsidR="00E36213" w:rsidRPr="00E36213">
              <w:rPr>
                <w:szCs w:val="22"/>
              </w:rPr>
              <w:t xml:space="preserve"> </w:t>
            </w:r>
            <w:r w:rsidRPr="00E36213">
              <w:rPr>
                <w:szCs w:val="22"/>
              </w:rPr>
              <w:t>B 3 229 304 is upheld for all the contested</w:t>
            </w:r>
            <w:r w:rsidR="00301811" w:rsidRPr="00E36213">
              <w:rPr>
                <w:szCs w:val="22"/>
              </w:rPr>
              <w:t xml:space="preserve"> goods</w:t>
            </w:r>
            <w:r w:rsidRPr="00E36213">
              <w:rPr>
                <w:szCs w:val="22"/>
              </w:rPr>
              <w:t>.</w:t>
            </w:r>
          </w:p>
        </w:tc>
      </w:tr>
    </w:tbl>
    <w:p w14:paraId="3E395391" w14:textId="77777777" w:rsidR="00A23989" w:rsidRPr="00E36213" w:rsidRDefault="00A23989" w:rsidP="0013623E">
      <w:pPr>
        <w:rPr>
          <w:szCs w:val="22"/>
        </w:rPr>
      </w:pPr>
    </w:p>
    <w:tbl>
      <w:tblPr>
        <w:tblW w:w="0" w:type="auto"/>
        <w:tblCellSpacing w:w="0" w:type="auto"/>
        <w:tblLook w:val="04A0" w:firstRow="1" w:lastRow="0" w:firstColumn="1" w:lastColumn="0" w:noHBand="0" w:noVBand="1"/>
      </w:tblPr>
      <w:tblGrid>
        <w:gridCol w:w="469"/>
        <w:gridCol w:w="8558"/>
      </w:tblGrid>
      <w:tr w:rsidR="0013623E" w:rsidRPr="00E36213" w14:paraId="3E395394" w14:textId="77777777">
        <w:trPr>
          <w:trHeight w:val="30"/>
          <w:tblCellSpacing w:w="0" w:type="auto"/>
        </w:trPr>
        <w:tc>
          <w:tcPr>
            <w:tcW w:w="640" w:type="dxa"/>
            <w:tcMar>
              <w:top w:w="15" w:type="dxa"/>
              <w:left w:w="15" w:type="dxa"/>
              <w:bottom w:w="15" w:type="dxa"/>
              <w:right w:w="15" w:type="dxa"/>
            </w:tcMar>
          </w:tcPr>
          <w:p w14:paraId="3E395392" w14:textId="6A4328CF" w:rsidR="00A23989" w:rsidRPr="00B31673" w:rsidRDefault="002B5333" w:rsidP="0013623E">
            <w:pPr>
              <w:jc w:val="both"/>
              <w:rPr>
                <w:szCs w:val="22"/>
                <w14:shadow w14:blurRad="50800" w14:dist="38100" w14:dir="2700000" w14:sx="100000" w14:sy="100000" w14:kx="0" w14:ky="0" w14:algn="tl">
                  <w14:srgbClr w14:val="000000">
                    <w14:alpha w14:val="60000"/>
                  </w14:srgbClr>
                </w14:shadow>
              </w:rPr>
            </w:pPr>
            <w:bookmarkStart w:id="3" w:name="chk-paragraph-2-1-1_nodeId--553874705"/>
            <w:bookmarkEnd w:id="2"/>
            <w:r w:rsidRPr="00E36213">
              <w:rPr>
                <w:b/>
                <w:szCs w:val="22"/>
              </w:rPr>
              <w:t>2.</w:t>
            </w:r>
          </w:p>
        </w:tc>
        <w:tc>
          <w:tcPr>
            <w:tcW w:w="13154" w:type="dxa"/>
            <w:tcMar>
              <w:top w:w="15" w:type="dxa"/>
              <w:left w:w="15" w:type="dxa"/>
              <w:bottom w:w="15" w:type="dxa"/>
              <w:right w:w="15" w:type="dxa"/>
            </w:tcMar>
          </w:tcPr>
          <w:p w14:paraId="3E395393" w14:textId="06000680" w:rsidR="00A23989" w:rsidRPr="00E36213" w:rsidRDefault="002B5333" w:rsidP="0013623E">
            <w:pPr>
              <w:jc w:val="both"/>
              <w:rPr>
                <w:szCs w:val="22"/>
              </w:rPr>
            </w:pPr>
            <w:r w:rsidRPr="00E36213">
              <w:rPr>
                <w:szCs w:val="22"/>
              </w:rPr>
              <w:t xml:space="preserve">European Union </w:t>
            </w:r>
            <w:proofErr w:type="gramStart"/>
            <w:r w:rsidRPr="00E36213">
              <w:rPr>
                <w:szCs w:val="22"/>
              </w:rPr>
              <w:t>trade mark</w:t>
            </w:r>
            <w:proofErr w:type="gramEnd"/>
            <w:r w:rsidRPr="00E36213">
              <w:rPr>
                <w:szCs w:val="22"/>
              </w:rPr>
              <w:t xml:space="preserve"> application No 19 070 168 is rejected in its entirety.</w:t>
            </w:r>
          </w:p>
        </w:tc>
      </w:tr>
    </w:tbl>
    <w:p w14:paraId="3E395397" w14:textId="6AA358A5" w:rsidR="00A23989" w:rsidRPr="00E36213" w:rsidRDefault="00A23989" w:rsidP="0013623E">
      <w:pPr>
        <w:rPr>
          <w:szCs w:val="22"/>
        </w:rPr>
      </w:pPr>
    </w:p>
    <w:tbl>
      <w:tblPr>
        <w:tblW w:w="0" w:type="auto"/>
        <w:tblCellSpacing w:w="0" w:type="auto"/>
        <w:tblLook w:val="04A0" w:firstRow="1" w:lastRow="0" w:firstColumn="1" w:lastColumn="0" w:noHBand="0" w:noVBand="1"/>
      </w:tblPr>
      <w:tblGrid>
        <w:gridCol w:w="479"/>
        <w:gridCol w:w="8548"/>
      </w:tblGrid>
      <w:tr w:rsidR="0013623E" w:rsidRPr="00E36213" w14:paraId="3E39539A" w14:textId="77777777">
        <w:trPr>
          <w:trHeight w:val="30"/>
          <w:tblCellSpacing w:w="0" w:type="auto"/>
        </w:trPr>
        <w:tc>
          <w:tcPr>
            <w:tcW w:w="640" w:type="dxa"/>
            <w:tcMar>
              <w:top w:w="15" w:type="dxa"/>
              <w:left w:w="15" w:type="dxa"/>
              <w:bottom w:w="15" w:type="dxa"/>
              <w:right w:w="15" w:type="dxa"/>
            </w:tcMar>
          </w:tcPr>
          <w:p w14:paraId="3E395398" w14:textId="5A5D4527" w:rsidR="00A23989" w:rsidRPr="00B31673" w:rsidRDefault="002B5333" w:rsidP="0013623E">
            <w:pPr>
              <w:jc w:val="both"/>
              <w:rPr>
                <w:szCs w:val="22"/>
                <w14:shadow w14:blurRad="50800" w14:dist="38100" w14:dir="2700000" w14:sx="100000" w14:sy="100000" w14:kx="0" w14:ky="0" w14:algn="tl">
                  <w14:srgbClr w14:val="000000">
                    <w14:alpha w14:val="60000"/>
                  </w14:srgbClr>
                </w14:shadow>
              </w:rPr>
            </w:pPr>
            <w:bookmarkStart w:id="4" w:name="chk-paragraph-2-1-1-2_nodeId--230382450"/>
            <w:bookmarkEnd w:id="3"/>
            <w:r w:rsidRPr="00E36213">
              <w:rPr>
                <w:b/>
                <w:szCs w:val="22"/>
              </w:rPr>
              <w:t>3.</w:t>
            </w:r>
          </w:p>
        </w:tc>
        <w:tc>
          <w:tcPr>
            <w:tcW w:w="13154" w:type="dxa"/>
            <w:tcMar>
              <w:top w:w="15" w:type="dxa"/>
              <w:left w:w="15" w:type="dxa"/>
              <w:bottom w:w="15" w:type="dxa"/>
              <w:right w:w="15" w:type="dxa"/>
            </w:tcMar>
          </w:tcPr>
          <w:p w14:paraId="3E395399" w14:textId="63A5D240" w:rsidR="00A23989" w:rsidRPr="00E36213" w:rsidRDefault="002B5333" w:rsidP="0013623E">
            <w:pPr>
              <w:jc w:val="both"/>
              <w:rPr>
                <w:szCs w:val="22"/>
              </w:rPr>
            </w:pPr>
            <w:r w:rsidRPr="00E36213">
              <w:rPr>
                <w:szCs w:val="22"/>
              </w:rPr>
              <w:t>The applicant bears the costs, fixed at EUR 320.</w:t>
            </w:r>
          </w:p>
        </w:tc>
      </w:tr>
    </w:tbl>
    <w:p w14:paraId="3E39539C" w14:textId="77777777" w:rsidR="00A23989" w:rsidRPr="00E36213" w:rsidRDefault="00A23989" w:rsidP="0013623E">
      <w:pPr>
        <w:rPr>
          <w:szCs w:val="22"/>
        </w:rPr>
      </w:pPr>
    </w:p>
    <w:p w14:paraId="253AB6BD" w14:textId="77777777" w:rsidR="00301811" w:rsidRPr="00E36213" w:rsidRDefault="00301811" w:rsidP="0013623E">
      <w:pPr>
        <w:rPr>
          <w:szCs w:val="22"/>
        </w:rPr>
      </w:pPr>
    </w:p>
    <w:p w14:paraId="3E39539D" w14:textId="77777777" w:rsidR="00A23989" w:rsidRPr="00E36213" w:rsidRDefault="002B5333" w:rsidP="0013623E">
      <w:pPr>
        <w:jc w:val="center"/>
        <w:rPr>
          <w:szCs w:val="22"/>
        </w:rPr>
      </w:pPr>
      <w:bookmarkStart w:id="5" w:name="chk-paragraph-3_nodeId-1085394009"/>
      <w:bookmarkEnd w:id="4"/>
      <w:r w:rsidRPr="00E36213">
        <w:rPr>
          <w:b/>
          <w:szCs w:val="22"/>
        </w:rPr>
        <w:t>REASONS</w:t>
      </w:r>
    </w:p>
    <w:p w14:paraId="3E39539E" w14:textId="235DB7CC" w:rsidR="00A23989" w:rsidRPr="00E36213" w:rsidRDefault="002B5333" w:rsidP="0013623E">
      <w:pPr>
        <w:jc w:val="both"/>
        <w:rPr>
          <w:szCs w:val="22"/>
        </w:rPr>
      </w:pPr>
      <w:r w:rsidRPr="00E36213">
        <w:rPr>
          <w:szCs w:val="22"/>
        </w:rPr>
        <w:t> </w:t>
      </w:r>
    </w:p>
    <w:p w14:paraId="22232144" w14:textId="6F1B6E4A" w:rsidR="00301811" w:rsidRPr="00E36213" w:rsidRDefault="002B5333" w:rsidP="0013623E">
      <w:pPr>
        <w:jc w:val="both"/>
        <w:rPr>
          <w:szCs w:val="22"/>
        </w:rPr>
      </w:pPr>
      <w:r w:rsidRPr="00E36213">
        <w:rPr>
          <w:szCs w:val="22"/>
        </w:rPr>
        <w:t>On 28/11/2024, the opponent filed an opposition against all the</w:t>
      </w:r>
      <w:r w:rsidR="00301811" w:rsidRPr="00E36213">
        <w:rPr>
          <w:szCs w:val="22"/>
        </w:rPr>
        <w:t xml:space="preserve"> goods </w:t>
      </w:r>
      <w:r w:rsidRPr="00E36213">
        <w:rPr>
          <w:szCs w:val="22"/>
        </w:rPr>
        <w:t xml:space="preserve">of European Union </w:t>
      </w:r>
      <w:proofErr w:type="gramStart"/>
      <w:r w:rsidRPr="00E36213">
        <w:rPr>
          <w:szCs w:val="22"/>
        </w:rPr>
        <w:t>trade mark</w:t>
      </w:r>
      <w:proofErr w:type="gramEnd"/>
      <w:r w:rsidRPr="00E36213">
        <w:rPr>
          <w:szCs w:val="22"/>
        </w:rPr>
        <w:t xml:space="preserve"> application No 19 070 168</w:t>
      </w:r>
      <w:r w:rsidR="00301811" w:rsidRPr="00E36213">
        <w:rPr>
          <w:szCs w:val="22"/>
        </w:rPr>
        <w:t xml:space="preserve"> for the figurative mark</w:t>
      </w:r>
      <w:r w:rsidRPr="00E36213">
        <w:rPr>
          <w:szCs w:val="22"/>
        </w:rPr>
        <w:t xml:space="preserve"> </w:t>
      </w:r>
      <w:r w:rsidRPr="00E36213">
        <w:rPr>
          <w:noProof/>
          <w:szCs w:val="22"/>
        </w:rPr>
        <w:drawing>
          <wp:inline distT="0" distB="0" distL="0" distR="0" wp14:anchorId="3E39548B" wp14:editId="14BED5B9">
            <wp:extent cx="850790" cy="204171"/>
            <wp:effectExtent l="0" t="0" r="0" b="0"/>
            <wp:docPr id="334748000" name="Picture 3347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841" t="30189" r="30435" b="33619"/>
                    <a:stretch/>
                  </pic:blipFill>
                  <pic:spPr bwMode="auto">
                    <a:xfrm>
                      <a:off x="0" y="0"/>
                      <a:ext cx="857527" cy="205788"/>
                    </a:xfrm>
                    <a:prstGeom prst="rect">
                      <a:avLst/>
                    </a:prstGeom>
                    <a:ln>
                      <a:noFill/>
                    </a:ln>
                    <a:extLst>
                      <a:ext uri="{53640926-AAD7-44D8-BBD7-CCE9431645EC}">
                        <a14:shadowObscured xmlns:a14="http://schemas.microsoft.com/office/drawing/2010/main"/>
                      </a:ext>
                    </a:extLst>
                  </pic:spPr>
                </pic:pic>
              </a:graphicData>
            </a:graphic>
          </wp:inline>
        </w:drawing>
      </w:r>
      <w:r w:rsidR="00301811" w:rsidRPr="00E36213">
        <w:rPr>
          <w:szCs w:val="22"/>
        </w:rPr>
        <w:t xml:space="preserve">, namely against all the goods in Class 25. </w:t>
      </w:r>
      <w:r w:rsidRPr="00E36213">
        <w:rPr>
          <w:szCs w:val="22"/>
        </w:rPr>
        <w:t>The opposition is based on</w:t>
      </w:r>
      <w:r w:rsidR="00301811" w:rsidRPr="00E36213">
        <w:rPr>
          <w:szCs w:val="22"/>
        </w:rPr>
        <w:t xml:space="preserve"> </w:t>
      </w:r>
      <w:bookmarkStart w:id="6" w:name="_Hlk208499931"/>
      <w:r w:rsidR="00301811" w:rsidRPr="00E36213">
        <w:rPr>
          <w:szCs w:val="22"/>
        </w:rPr>
        <w:t xml:space="preserve">French </w:t>
      </w:r>
      <w:proofErr w:type="gramStart"/>
      <w:r w:rsidR="00301811" w:rsidRPr="00E36213">
        <w:rPr>
          <w:szCs w:val="22"/>
        </w:rPr>
        <w:t>trade mark</w:t>
      </w:r>
      <w:proofErr w:type="gramEnd"/>
      <w:r w:rsidR="00301811" w:rsidRPr="00E36213">
        <w:rPr>
          <w:szCs w:val="22"/>
        </w:rPr>
        <w:t xml:space="preserve"> registration No 3 977 083</w:t>
      </w:r>
      <w:bookmarkEnd w:id="6"/>
      <w:r w:rsidR="00301811" w:rsidRPr="00E36213">
        <w:rPr>
          <w:szCs w:val="22"/>
        </w:rPr>
        <w:t xml:space="preserve"> for the word mark ꞌCHANELꞌ. </w:t>
      </w:r>
    </w:p>
    <w:p w14:paraId="34201408" w14:textId="77777777" w:rsidR="00301811" w:rsidRPr="00E36213" w:rsidRDefault="00301811" w:rsidP="0013623E">
      <w:pPr>
        <w:jc w:val="both"/>
        <w:rPr>
          <w:szCs w:val="22"/>
        </w:rPr>
      </w:pPr>
    </w:p>
    <w:p w14:paraId="3E39539F" w14:textId="741E6CF7" w:rsidR="00A23989" w:rsidRPr="00E36213" w:rsidRDefault="002B5333" w:rsidP="0013623E">
      <w:pPr>
        <w:jc w:val="both"/>
        <w:rPr>
          <w:szCs w:val="22"/>
        </w:rPr>
      </w:pPr>
      <w:r w:rsidRPr="00E36213">
        <w:rPr>
          <w:szCs w:val="22"/>
        </w:rPr>
        <w:t>The opponent invoked</w:t>
      </w:r>
      <w:r w:rsidR="00E36213" w:rsidRPr="00E36213">
        <w:rPr>
          <w:szCs w:val="22"/>
        </w:rPr>
        <w:t xml:space="preserve"> </w:t>
      </w:r>
      <w:r w:rsidRPr="00E36213">
        <w:rPr>
          <w:szCs w:val="22"/>
        </w:rPr>
        <w:t>Article</w:t>
      </w:r>
      <w:r w:rsidR="00301811" w:rsidRPr="00E36213">
        <w:rPr>
          <w:szCs w:val="22"/>
        </w:rPr>
        <w:t>s </w:t>
      </w:r>
      <w:r w:rsidRPr="00E36213">
        <w:rPr>
          <w:szCs w:val="22"/>
        </w:rPr>
        <w:t>8(1)(b)</w:t>
      </w:r>
      <w:r w:rsidR="00301811" w:rsidRPr="00E36213">
        <w:rPr>
          <w:szCs w:val="22"/>
        </w:rPr>
        <w:t xml:space="preserve"> and</w:t>
      </w:r>
      <w:r w:rsidRPr="00E36213">
        <w:rPr>
          <w:szCs w:val="22"/>
        </w:rPr>
        <w:t xml:space="preserve"> 8(5)</w:t>
      </w:r>
      <w:r w:rsidR="00301811" w:rsidRPr="00E36213">
        <w:rPr>
          <w:szCs w:val="22"/>
        </w:rPr>
        <w:t> </w:t>
      </w:r>
      <w:r w:rsidRPr="00E36213">
        <w:rPr>
          <w:szCs w:val="22"/>
        </w:rPr>
        <w:t>EUTMR.</w:t>
      </w:r>
    </w:p>
    <w:p w14:paraId="05CE2318" w14:textId="77777777" w:rsidR="0013623E" w:rsidRPr="00E36213" w:rsidRDefault="0013623E" w:rsidP="0013623E">
      <w:pPr>
        <w:rPr>
          <w:szCs w:val="22"/>
        </w:rPr>
      </w:pPr>
      <w:bookmarkStart w:id="7" w:name="chk-paragraph-9-3_nodeId--1128870563"/>
      <w:bookmarkEnd w:id="5"/>
    </w:p>
    <w:p w14:paraId="38207984" w14:textId="77777777" w:rsidR="0013623E" w:rsidRPr="00E36213" w:rsidRDefault="0013623E" w:rsidP="0013623E">
      <w:pPr>
        <w:rPr>
          <w:szCs w:val="22"/>
        </w:rPr>
      </w:pPr>
    </w:p>
    <w:p w14:paraId="3E3953AA" w14:textId="1C41BE9C" w:rsidR="00A23989" w:rsidRPr="00E36213" w:rsidRDefault="002B5333" w:rsidP="0013623E">
      <w:pPr>
        <w:rPr>
          <w:szCs w:val="22"/>
        </w:rPr>
      </w:pPr>
      <w:r w:rsidRPr="00E36213">
        <w:rPr>
          <w:b/>
          <w:szCs w:val="22"/>
        </w:rPr>
        <w:t>LIKELIHOOD OF CONFUSION — ARTICLE 8(1)(b) EUTMR</w:t>
      </w:r>
    </w:p>
    <w:p w14:paraId="3E3953AC" w14:textId="77777777" w:rsidR="00A23989" w:rsidRPr="00E36213" w:rsidRDefault="002B5333" w:rsidP="0013623E">
      <w:pPr>
        <w:jc w:val="both"/>
        <w:rPr>
          <w:szCs w:val="22"/>
        </w:rPr>
      </w:pPr>
      <w:r w:rsidRPr="00E36213">
        <w:rPr>
          <w:szCs w:val="22"/>
        </w:rPr>
        <w:t>Pursuant to Article 8(1)(b) EUTMR, a likelihood of confusion exists if there is a risk that the public might believe that the goods or services in question, under the assumption that they bear the marks in question, come from the same undertaking or</w:t>
      </w:r>
      <w:proofErr w:type="gramStart"/>
      <w:r w:rsidRPr="00E36213">
        <w:rPr>
          <w:szCs w:val="22"/>
        </w:rPr>
        <w:t>, as the case may be, from</w:t>
      </w:r>
      <w:proofErr w:type="gramEnd"/>
      <w:r w:rsidRPr="00E36213">
        <w:rPr>
          <w:szCs w:val="22"/>
        </w:rPr>
        <w:t xml:space="preserve"> economically linked undertakings. Whether a likelihood of confusion exists depends on the appreciation in a global assessment of several factors, which are interdependent. These factors include the similarity of the signs, the similarity of the goods and services, the distinctiveness of the earlier mark, the distinctive and dominant elements of the conflicting signs, and the relevant public.</w:t>
      </w:r>
    </w:p>
    <w:p w14:paraId="3C8213F0" w14:textId="77777777" w:rsidR="00301811" w:rsidRPr="00E36213" w:rsidRDefault="00301811" w:rsidP="0013623E">
      <w:pPr>
        <w:jc w:val="both"/>
        <w:rPr>
          <w:szCs w:val="22"/>
        </w:rPr>
      </w:pPr>
    </w:p>
    <w:p w14:paraId="3E3953B3" w14:textId="4D858FEA" w:rsidR="00A23989" w:rsidRPr="00E36213" w:rsidRDefault="002B5333" w:rsidP="0013623E">
      <w:pPr>
        <w:jc w:val="both"/>
        <w:rPr>
          <w:szCs w:val="22"/>
        </w:rPr>
      </w:pPr>
      <w:r w:rsidRPr="00E36213">
        <w:rPr>
          <w:szCs w:val="22"/>
        </w:rPr>
        <w:t> </w:t>
      </w:r>
    </w:p>
    <w:p w14:paraId="3E3953B4" w14:textId="101535F5" w:rsidR="00A23989" w:rsidRPr="00E36213" w:rsidRDefault="002B5333" w:rsidP="0013623E">
      <w:pPr>
        <w:jc w:val="both"/>
        <w:rPr>
          <w:szCs w:val="22"/>
        </w:rPr>
      </w:pPr>
      <w:bookmarkStart w:id="8" w:name="chk-paragraph-9-3-1_nodeId-537559823"/>
      <w:bookmarkEnd w:id="7"/>
      <w:r w:rsidRPr="00E36213">
        <w:rPr>
          <w:b/>
          <w:szCs w:val="22"/>
        </w:rPr>
        <w:t>a) The</w:t>
      </w:r>
      <w:r w:rsidR="00301811" w:rsidRPr="00E36213">
        <w:rPr>
          <w:b/>
          <w:szCs w:val="22"/>
        </w:rPr>
        <w:t xml:space="preserve"> goods</w:t>
      </w:r>
    </w:p>
    <w:p w14:paraId="3E3953B5" w14:textId="43E0E710" w:rsidR="00A23989" w:rsidRPr="00E36213" w:rsidRDefault="002B5333" w:rsidP="0013623E">
      <w:pPr>
        <w:jc w:val="both"/>
        <w:rPr>
          <w:szCs w:val="22"/>
        </w:rPr>
      </w:pPr>
      <w:r w:rsidRPr="00E36213">
        <w:rPr>
          <w:szCs w:val="22"/>
        </w:rPr>
        <w:t> </w:t>
      </w:r>
    </w:p>
    <w:p w14:paraId="3E3953B6" w14:textId="2C475752" w:rsidR="00A23989" w:rsidRPr="00E36213" w:rsidRDefault="002B5333" w:rsidP="0013623E">
      <w:pPr>
        <w:jc w:val="both"/>
        <w:rPr>
          <w:szCs w:val="22"/>
        </w:rPr>
      </w:pPr>
      <w:r w:rsidRPr="00E36213">
        <w:rPr>
          <w:szCs w:val="22"/>
        </w:rPr>
        <w:t>The</w:t>
      </w:r>
      <w:r w:rsidR="00301811" w:rsidRPr="00E36213">
        <w:rPr>
          <w:szCs w:val="22"/>
        </w:rPr>
        <w:t xml:space="preserve"> goods </w:t>
      </w:r>
      <w:r w:rsidRPr="00E36213">
        <w:rPr>
          <w:szCs w:val="22"/>
        </w:rPr>
        <w:t>on which the opposition is based are the following:</w:t>
      </w:r>
    </w:p>
    <w:p w14:paraId="3E3953B7" w14:textId="605B4F29" w:rsidR="00A23989" w:rsidRPr="00E36213" w:rsidRDefault="002B5333" w:rsidP="0013623E">
      <w:pPr>
        <w:jc w:val="both"/>
        <w:rPr>
          <w:szCs w:val="22"/>
        </w:rPr>
      </w:pPr>
      <w:r w:rsidRPr="00E36213">
        <w:rPr>
          <w:szCs w:val="22"/>
        </w:rPr>
        <w:t> </w:t>
      </w:r>
    </w:p>
    <w:p w14:paraId="3E3953B9" w14:textId="14688E6F" w:rsidR="00A23989" w:rsidRPr="00E36213" w:rsidRDefault="00301811" w:rsidP="0013623E">
      <w:pPr>
        <w:jc w:val="both"/>
        <w:rPr>
          <w:szCs w:val="22"/>
        </w:rPr>
      </w:pPr>
      <w:r w:rsidRPr="00E36213">
        <w:rPr>
          <w:szCs w:val="22"/>
        </w:rPr>
        <w:t xml:space="preserve">Class 25: </w:t>
      </w:r>
      <w:r w:rsidRPr="00E36213">
        <w:rPr>
          <w:i/>
          <w:iCs/>
          <w:szCs w:val="22"/>
        </w:rPr>
        <w:t>Clothing; headgear.</w:t>
      </w:r>
    </w:p>
    <w:p w14:paraId="7A2DB452" w14:textId="77777777" w:rsidR="00301811" w:rsidRPr="00E36213" w:rsidRDefault="00301811" w:rsidP="0013623E">
      <w:pPr>
        <w:jc w:val="both"/>
        <w:rPr>
          <w:szCs w:val="22"/>
        </w:rPr>
      </w:pPr>
    </w:p>
    <w:p w14:paraId="3E3953BC" w14:textId="7CCDA5D9" w:rsidR="00A23989" w:rsidRPr="00E36213" w:rsidRDefault="002B5333" w:rsidP="0013623E">
      <w:pPr>
        <w:jc w:val="both"/>
        <w:rPr>
          <w:szCs w:val="22"/>
        </w:rPr>
      </w:pPr>
      <w:r w:rsidRPr="00E36213">
        <w:rPr>
          <w:szCs w:val="22"/>
        </w:rPr>
        <w:t>The contested</w:t>
      </w:r>
      <w:r w:rsidR="00301811" w:rsidRPr="00E36213">
        <w:rPr>
          <w:szCs w:val="22"/>
        </w:rPr>
        <w:t xml:space="preserve"> goods </w:t>
      </w:r>
      <w:r w:rsidRPr="00E36213">
        <w:rPr>
          <w:szCs w:val="22"/>
        </w:rPr>
        <w:t>are the following:</w:t>
      </w:r>
    </w:p>
    <w:p w14:paraId="241F112A" w14:textId="77777777" w:rsidR="00301811" w:rsidRPr="00E36213" w:rsidRDefault="00301811" w:rsidP="0013623E">
      <w:pPr>
        <w:jc w:val="both"/>
        <w:rPr>
          <w:szCs w:val="22"/>
        </w:rPr>
      </w:pPr>
    </w:p>
    <w:p w14:paraId="3E3953BD" w14:textId="77777777" w:rsidR="00A23989" w:rsidRPr="00E36213" w:rsidRDefault="002B5333" w:rsidP="0013623E">
      <w:pPr>
        <w:jc w:val="both"/>
        <w:rPr>
          <w:szCs w:val="22"/>
        </w:rPr>
      </w:pPr>
      <w:r w:rsidRPr="00E36213">
        <w:rPr>
          <w:szCs w:val="22"/>
        </w:rPr>
        <w:t xml:space="preserve">Class 25: </w:t>
      </w:r>
      <w:r w:rsidRPr="00E36213">
        <w:rPr>
          <w:i/>
          <w:szCs w:val="22"/>
        </w:rPr>
        <w:t>Caps being headwear; skull caps; hats; gloves [clothing]; fingerless gloves; thermal gloves for touchscreen devices; muffs [clothing]; neck tube scarves; scarves; mittens.</w:t>
      </w:r>
    </w:p>
    <w:p w14:paraId="66CBA8C6" w14:textId="77777777" w:rsidR="00301811" w:rsidRPr="00E36213" w:rsidRDefault="00301811" w:rsidP="0013623E">
      <w:pPr>
        <w:rPr>
          <w:b/>
          <w:szCs w:val="22"/>
        </w:rPr>
      </w:pPr>
      <w:bookmarkStart w:id="9" w:name="chk-paragraph-9-3-1-4_nodeId-2106898293"/>
      <w:bookmarkEnd w:id="8"/>
    </w:p>
    <w:p w14:paraId="3E3953CA" w14:textId="1DA890E7" w:rsidR="00A23989" w:rsidRPr="00E36213" w:rsidRDefault="002B5333" w:rsidP="0013623E">
      <w:pPr>
        <w:rPr>
          <w:szCs w:val="22"/>
        </w:rPr>
      </w:pPr>
      <w:r w:rsidRPr="00E36213">
        <w:rPr>
          <w:b/>
          <w:szCs w:val="22"/>
        </w:rPr>
        <w:t>Contested goods in Class 25</w:t>
      </w:r>
    </w:p>
    <w:p w14:paraId="1F4FA077" w14:textId="77777777" w:rsidR="0013623E" w:rsidRPr="00E36213" w:rsidRDefault="0013623E" w:rsidP="0013623E">
      <w:pPr>
        <w:jc w:val="both"/>
        <w:rPr>
          <w:szCs w:val="22"/>
        </w:rPr>
      </w:pPr>
    </w:p>
    <w:p w14:paraId="3E3953CC" w14:textId="50E293DF" w:rsidR="00A23989" w:rsidRPr="00E36213" w:rsidRDefault="002B5333" w:rsidP="0013623E">
      <w:pPr>
        <w:jc w:val="both"/>
        <w:rPr>
          <w:szCs w:val="22"/>
        </w:rPr>
      </w:pPr>
      <w:r w:rsidRPr="00E36213">
        <w:rPr>
          <w:szCs w:val="22"/>
        </w:rPr>
        <w:t xml:space="preserve">The contested </w:t>
      </w:r>
      <w:r w:rsidRPr="00E36213">
        <w:rPr>
          <w:i/>
          <w:szCs w:val="22"/>
        </w:rPr>
        <w:t>caps being headwear; skull caps; hats</w:t>
      </w:r>
      <w:r w:rsidRPr="00E36213">
        <w:rPr>
          <w:szCs w:val="22"/>
        </w:rPr>
        <w:t xml:space="preserve"> are included in</w:t>
      </w:r>
      <w:r w:rsidR="00301811" w:rsidRPr="00E36213">
        <w:rPr>
          <w:szCs w:val="22"/>
        </w:rPr>
        <w:t xml:space="preserve"> the broad category of</w:t>
      </w:r>
      <w:r w:rsidRPr="00E36213">
        <w:rPr>
          <w:szCs w:val="22"/>
        </w:rPr>
        <w:t xml:space="preserve"> the opponent's </w:t>
      </w:r>
      <w:r w:rsidRPr="00E36213">
        <w:rPr>
          <w:i/>
          <w:szCs w:val="22"/>
        </w:rPr>
        <w:t>headgear</w:t>
      </w:r>
      <w:r w:rsidRPr="00E36213">
        <w:rPr>
          <w:szCs w:val="22"/>
        </w:rPr>
        <w:t xml:space="preserve">. Therefore, they are </w:t>
      </w:r>
      <w:r w:rsidRPr="00E36213">
        <w:rPr>
          <w:szCs w:val="22"/>
          <w:u w:val="single"/>
        </w:rPr>
        <w:t>identical</w:t>
      </w:r>
      <w:r w:rsidRPr="00E36213">
        <w:rPr>
          <w:szCs w:val="22"/>
        </w:rPr>
        <w:t>.</w:t>
      </w:r>
    </w:p>
    <w:p w14:paraId="3D198DA8" w14:textId="77777777" w:rsidR="0013623E" w:rsidRPr="00E36213" w:rsidRDefault="0013623E" w:rsidP="0013623E">
      <w:pPr>
        <w:jc w:val="both"/>
        <w:rPr>
          <w:szCs w:val="22"/>
        </w:rPr>
      </w:pPr>
    </w:p>
    <w:p w14:paraId="3E3953CE" w14:textId="4CCBAF86" w:rsidR="00A23989" w:rsidRPr="00E36213" w:rsidRDefault="002B5333" w:rsidP="0013623E">
      <w:pPr>
        <w:jc w:val="both"/>
        <w:rPr>
          <w:szCs w:val="22"/>
        </w:rPr>
      </w:pPr>
      <w:r w:rsidRPr="00E36213">
        <w:rPr>
          <w:szCs w:val="22"/>
        </w:rPr>
        <w:t xml:space="preserve">The contested </w:t>
      </w:r>
      <w:r w:rsidRPr="00E36213">
        <w:rPr>
          <w:i/>
          <w:szCs w:val="22"/>
        </w:rPr>
        <w:t>gloves [clothing]; fingerless gloves;</w:t>
      </w:r>
      <w:r w:rsidR="00301811" w:rsidRPr="00E36213">
        <w:rPr>
          <w:i/>
          <w:szCs w:val="22"/>
        </w:rPr>
        <w:t xml:space="preserve"> thermal gloves for touchscreen devices;</w:t>
      </w:r>
      <w:r w:rsidRPr="00E36213">
        <w:rPr>
          <w:i/>
          <w:szCs w:val="22"/>
        </w:rPr>
        <w:t xml:space="preserve"> muffs [clothing]; neck tube scarves; scarves; mittens</w:t>
      </w:r>
      <w:r w:rsidR="00301811" w:rsidRPr="00E36213">
        <w:rPr>
          <w:szCs w:val="22"/>
        </w:rPr>
        <w:t xml:space="preserve"> </w:t>
      </w:r>
      <w:r w:rsidRPr="00E36213">
        <w:rPr>
          <w:szCs w:val="22"/>
        </w:rPr>
        <w:t>are included in</w:t>
      </w:r>
      <w:r w:rsidR="00301811" w:rsidRPr="00E36213">
        <w:rPr>
          <w:szCs w:val="22"/>
        </w:rPr>
        <w:t xml:space="preserve"> the broad category of</w:t>
      </w:r>
      <w:r w:rsidRPr="00E36213">
        <w:rPr>
          <w:szCs w:val="22"/>
        </w:rPr>
        <w:t xml:space="preserve"> the opponent's </w:t>
      </w:r>
      <w:r w:rsidRPr="00E36213">
        <w:rPr>
          <w:i/>
          <w:szCs w:val="22"/>
        </w:rPr>
        <w:t>clothing</w:t>
      </w:r>
      <w:r w:rsidRPr="00E36213">
        <w:rPr>
          <w:szCs w:val="22"/>
        </w:rPr>
        <w:t xml:space="preserve">. Therefore, they are </w:t>
      </w:r>
      <w:r w:rsidRPr="00E36213">
        <w:rPr>
          <w:szCs w:val="22"/>
          <w:u w:val="single"/>
        </w:rPr>
        <w:t>identical</w:t>
      </w:r>
      <w:r w:rsidRPr="00E36213">
        <w:rPr>
          <w:szCs w:val="22"/>
        </w:rPr>
        <w:t xml:space="preserve">. </w:t>
      </w:r>
    </w:p>
    <w:p w14:paraId="4C0E99CC" w14:textId="77777777" w:rsidR="00301811" w:rsidRPr="00E36213" w:rsidRDefault="00301811" w:rsidP="0013623E">
      <w:pPr>
        <w:jc w:val="both"/>
        <w:rPr>
          <w:szCs w:val="22"/>
        </w:rPr>
      </w:pPr>
    </w:p>
    <w:p w14:paraId="3E3953D2" w14:textId="46681837" w:rsidR="00A23989" w:rsidRPr="00E36213" w:rsidRDefault="002B5333" w:rsidP="0013623E">
      <w:pPr>
        <w:jc w:val="both"/>
        <w:rPr>
          <w:szCs w:val="22"/>
        </w:rPr>
      </w:pPr>
      <w:r w:rsidRPr="00E36213">
        <w:rPr>
          <w:szCs w:val="22"/>
        </w:rPr>
        <w:t> </w:t>
      </w:r>
    </w:p>
    <w:p w14:paraId="3E3953D3" w14:textId="77777777" w:rsidR="00A23989" w:rsidRPr="00E36213" w:rsidRDefault="002B5333" w:rsidP="0013623E">
      <w:pPr>
        <w:jc w:val="both"/>
        <w:rPr>
          <w:szCs w:val="22"/>
        </w:rPr>
      </w:pPr>
      <w:bookmarkStart w:id="10" w:name="chk-paragraph-9-3-2_nodeId-870269841"/>
      <w:bookmarkEnd w:id="9"/>
      <w:r w:rsidRPr="00E36213">
        <w:rPr>
          <w:b/>
          <w:szCs w:val="22"/>
        </w:rPr>
        <w:t>b) Relevant public — degree of attention</w:t>
      </w:r>
    </w:p>
    <w:p w14:paraId="3E3953D4" w14:textId="1F1101AD" w:rsidR="00A23989" w:rsidRPr="00E36213" w:rsidRDefault="002B5333" w:rsidP="0013623E">
      <w:pPr>
        <w:jc w:val="both"/>
        <w:rPr>
          <w:szCs w:val="22"/>
        </w:rPr>
      </w:pPr>
      <w:r w:rsidRPr="00E36213">
        <w:rPr>
          <w:szCs w:val="22"/>
        </w:rPr>
        <w:t> </w:t>
      </w:r>
    </w:p>
    <w:p w14:paraId="3E3953D7" w14:textId="77777777" w:rsidR="00A23989" w:rsidRPr="00E36213" w:rsidRDefault="002B5333" w:rsidP="0013623E">
      <w:pPr>
        <w:jc w:val="both"/>
        <w:rPr>
          <w:szCs w:val="22"/>
        </w:rPr>
      </w:pPr>
      <w:r w:rsidRPr="00E36213">
        <w:rPr>
          <w:szCs w:val="22"/>
        </w:rPr>
        <w:t>The average consumer of the category of products concerned is deemed to be reasonably well informed and reasonably observant and circumspect. It should also be borne in mind that the average consumer’s degree of attention is likely to vary according to the category of goods or services in question (22/06/1999, C-342/97, Lloyd Schuhfabrik, EU:C:1999:323, § 26).</w:t>
      </w:r>
    </w:p>
    <w:p w14:paraId="3E3953D8" w14:textId="66D2757C" w:rsidR="00A23989" w:rsidRPr="00E36213" w:rsidRDefault="002B5333" w:rsidP="0013623E">
      <w:pPr>
        <w:jc w:val="both"/>
        <w:rPr>
          <w:szCs w:val="22"/>
        </w:rPr>
      </w:pPr>
      <w:r w:rsidRPr="00E36213">
        <w:rPr>
          <w:szCs w:val="22"/>
        </w:rPr>
        <w:t> </w:t>
      </w:r>
    </w:p>
    <w:p w14:paraId="3E3953DB" w14:textId="27447197" w:rsidR="00A23989" w:rsidRPr="00E36213" w:rsidRDefault="002B5333" w:rsidP="0013623E">
      <w:pPr>
        <w:jc w:val="both"/>
        <w:rPr>
          <w:szCs w:val="22"/>
        </w:rPr>
      </w:pPr>
      <w:r w:rsidRPr="00E36213">
        <w:rPr>
          <w:szCs w:val="22"/>
        </w:rPr>
        <w:t>In the present case, the</w:t>
      </w:r>
      <w:r w:rsidR="00301811" w:rsidRPr="00E36213">
        <w:rPr>
          <w:szCs w:val="22"/>
        </w:rPr>
        <w:t xml:space="preserve"> goods </w:t>
      </w:r>
      <w:r w:rsidRPr="00E36213">
        <w:rPr>
          <w:szCs w:val="22"/>
        </w:rPr>
        <w:t>found to be</w:t>
      </w:r>
      <w:r w:rsidR="00301811" w:rsidRPr="00E36213">
        <w:rPr>
          <w:szCs w:val="22"/>
        </w:rPr>
        <w:t xml:space="preserve"> identical </w:t>
      </w:r>
      <w:r w:rsidRPr="00E36213">
        <w:rPr>
          <w:szCs w:val="22"/>
        </w:rPr>
        <w:t>target the</w:t>
      </w:r>
      <w:r w:rsidR="0013623E" w:rsidRPr="00E36213">
        <w:rPr>
          <w:szCs w:val="22"/>
        </w:rPr>
        <w:t xml:space="preserve"> </w:t>
      </w:r>
      <w:r w:rsidRPr="00E36213">
        <w:rPr>
          <w:szCs w:val="22"/>
        </w:rPr>
        <w:t>public at large.</w:t>
      </w:r>
    </w:p>
    <w:p w14:paraId="3E3953DC" w14:textId="0810B7AE" w:rsidR="00A23989" w:rsidRPr="00E36213" w:rsidRDefault="002B5333" w:rsidP="0013623E">
      <w:pPr>
        <w:jc w:val="both"/>
        <w:rPr>
          <w:szCs w:val="22"/>
        </w:rPr>
      </w:pPr>
      <w:r w:rsidRPr="00E36213">
        <w:rPr>
          <w:szCs w:val="22"/>
        </w:rPr>
        <w:t> </w:t>
      </w:r>
    </w:p>
    <w:p w14:paraId="3E3953DD" w14:textId="1C884E6B" w:rsidR="00A23989" w:rsidRPr="00E36213" w:rsidRDefault="002B5333" w:rsidP="0013623E">
      <w:pPr>
        <w:jc w:val="both"/>
        <w:rPr>
          <w:szCs w:val="22"/>
        </w:rPr>
      </w:pPr>
      <w:r w:rsidRPr="00E36213">
        <w:rPr>
          <w:szCs w:val="22"/>
        </w:rPr>
        <w:t>The degree of attention</w:t>
      </w:r>
      <w:r w:rsidR="00301811" w:rsidRPr="00E36213">
        <w:rPr>
          <w:szCs w:val="22"/>
        </w:rPr>
        <w:t xml:space="preserve"> </w:t>
      </w:r>
      <w:proofErr w:type="gramStart"/>
      <w:r w:rsidR="00301811" w:rsidRPr="00E36213">
        <w:rPr>
          <w:szCs w:val="22"/>
        </w:rPr>
        <w:t>is considered to be</w:t>
      </w:r>
      <w:proofErr w:type="gramEnd"/>
      <w:r w:rsidR="00301811" w:rsidRPr="00E36213">
        <w:rPr>
          <w:szCs w:val="22"/>
        </w:rPr>
        <w:t xml:space="preserve"> average.</w:t>
      </w:r>
    </w:p>
    <w:p w14:paraId="497CA11C" w14:textId="77777777" w:rsidR="00301811" w:rsidRPr="00E36213" w:rsidRDefault="00301811" w:rsidP="0013623E">
      <w:pPr>
        <w:jc w:val="both"/>
        <w:rPr>
          <w:szCs w:val="22"/>
        </w:rPr>
      </w:pPr>
      <w:bookmarkStart w:id="11" w:name="chk-paragraph-9-3-2-1_nodeId-742969198"/>
      <w:bookmarkEnd w:id="10"/>
    </w:p>
    <w:p w14:paraId="3E3953E2" w14:textId="71A78E68" w:rsidR="00A23989" w:rsidRPr="00E36213" w:rsidRDefault="002B5333" w:rsidP="0013623E">
      <w:pPr>
        <w:jc w:val="both"/>
        <w:rPr>
          <w:szCs w:val="22"/>
        </w:rPr>
      </w:pPr>
      <w:r w:rsidRPr="00E36213">
        <w:rPr>
          <w:szCs w:val="22"/>
        </w:rPr>
        <w:t> </w:t>
      </w:r>
    </w:p>
    <w:p w14:paraId="3E3953E3" w14:textId="10B906AE" w:rsidR="00A23989" w:rsidRPr="00E36213" w:rsidRDefault="002B5333" w:rsidP="0013623E">
      <w:pPr>
        <w:jc w:val="both"/>
        <w:rPr>
          <w:szCs w:val="22"/>
        </w:rPr>
      </w:pPr>
      <w:bookmarkStart w:id="12" w:name="chk-paragraph-9-3-3_nodeId--1465072020"/>
      <w:bookmarkEnd w:id="11"/>
      <w:r w:rsidRPr="00E36213">
        <w:rPr>
          <w:b/>
          <w:szCs w:val="22"/>
        </w:rPr>
        <w:t>c) The signs</w:t>
      </w:r>
    </w:p>
    <w:p w14:paraId="3E3953E4" w14:textId="6F20EC6D" w:rsidR="00A23989" w:rsidRPr="00E36213" w:rsidRDefault="002B5333" w:rsidP="0013623E">
      <w:pPr>
        <w:jc w:val="both"/>
        <w:rPr>
          <w:szCs w:val="22"/>
        </w:rPr>
      </w:pPr>
      <w:r w:rsidRPr="00E36213">
        <w:rPr>
          <w:szCs w:val="22"/>
        </w:rPr>
        <w:t> </w:t>
      </w:r>
    </w:p>
    <w:p w14:paraId="4732DFFA" w14:textId="77777777" w:rsidR="0013623E" w:rsidRPr="00E36213" w:rsidRDefault="0013623E" w:rsidP="0013623E">
      <w:pPr>
        <w:jc w:val="both"/>
        <w:rPr>
          <w:szCs w:val="22"/>
        </w:rPr>
      </w:pPr>
    </w:p>
    <w:tbl>
      <w:tblPr>
        <w:tblW w:w="0" w:type="auto"/>
        <w:tblCellSpacing w:w="20" w:type="dxa"/>
        <w:tblInd w:w="154" w:type="dxa"/>
        <w:tblLook w:val="04A0" w:firstRow="1" w:lastRow="0" w:firstColumn="1" w:lastColumn="0" w:noHBand="0" w:noVBand="1"/>
      </w:tblPr>
      <w:tblGrid>
        <w:gridCol w:w="4781"/>
        <w:gridCol w:w="4092"/>
      </w:tblGrid>
      <w:tr w:rsidR="0013623E" w:rsidRPr="00E36213" w14:paraId="3E3953E7" w14:textId="77777777">
        <w:trPr>
          <w:trHeight w:val="30"/>
          <w:tblCellSpacing w:w="20" w:type="dxa"/>
        </w:trPr>
        <w:tc>
          <w:tcPr>
            <w:tcW w:w="6801" w:type="dxa"/>
            <w:tcBorders>
              <w:right w:val="dotted" w:sz="8" w:space="0" w:color="000000"/>
            </w:tcBorders>
            <w:tcMar>
              <w:top w:w="15" w:type="dxa"/>
              <w:left w:w="15" w:type="dxa"/>
              <w:bottom w:w="15" w:type="dxa"/>
              <w:right w:w="15" w:type="dxa"/>
            </w:tcMar>
            <w:vAlign w:val="center"/>
          </w:tcPr>
          <w:p w14:paraId="54A27BB3" w14:textId="77777777" w:rsidR="00301811" w:rsidRPr="00E36213" w:rsidRDefault="00301811" w:rsidP="0013623E">
            <w:pPr>
              <w:ind w:left="130"/>
              <w:jc w:val="center"/>
              <w:rPr>
                <w:szCs w:val="22"/>
              </w:rPr>
            </w:pPr>
            <w:r w:rsidRPr="00E36213">
              <w:rPr>
                <w:szCs w:val="22"/>
              </w:rPr>
              <w:t>CHANEL</w:t>
            </w:r>
          </w:p>
          <w:p w14:paraId="3E3953E5" w14:textId="07C66C0D" w:rsidR="00AA2B97" w:rsidRPr="00B31673" w:rsidRDefault="00AA2B97" w:rsidP="0013623E">
            <w:pPr>
              <w:ind w:left="130"/>
              <w:jc w:val="center"/>
              <w:rPr>
                <w:szCs w:val="22"/>
                <w14:shadow w14:blurRad="50800" w14:dist="38100" w14:dir="2700000" w14:sx="100000" w14:sy="100000" w14:kx="0" w14:ky="0" w14:algn="tl">
                  <w14:srgbClr w14:val="000000">
                    <w14:alpha w14:val="60000"/>
                  </w14:srgbClr>
                </w14:shadow>
              </w:rPr>
            </w:pPr>
          </w:p>
        </w:tc>
        <w:tc>
          <w:tcPr>
            <w:tcW w:w="5449" w:type="dxa"/>
            <w:tcMar>
              <w:top w:w="15" w:type="dxa"/>
              <w:left w:w="15" w:type="dxa"/>
              <w:bottom w:w="15" w:type="dxa"/>
              <w:right w:w="15" w:type="dxa"/>
            </w:tcMar>
            <w:vAlign w:val="center"/>
          </w:tcPr>
          <w:p w14:paraId="78B4538C" w14:textId="77777777" w:rsidR="00301811" w:rsidRPr="00E36213" w:rsidRDefault="002B5333" w:rsidP="0013623E">
            <w:pPr>
              <w:ind w:left="130"/>
              <w:jc w:val="center"/>
              <w:rPr>
                <w:szCs w:val="22"/>
              </w:rPr>
            </w:pPr>
            <w:r w:rsidRPr="00E36213">
              <w:rPr>
                <w:noProof/>
                <w:szCs w:val="22"/>
              </w:rPr>
              <w:drawing>
                <wp:inline distT="0" distB="0" distL="0" distR="0" wp14:anchorId="3E39548D" wp14:editId="598A57F1">
                  <wp:extent cx="882595" cy="210383"/>
                  <wp:effectExtent l="0" t="0" r="0" b="0"/>
                  <wp:docPr id="533925703" name="Picture 53392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300" t="29200" r="30713" b="34625"/>
                          <a:stretch/>
                        </pic:blipFill>
                        <pic:spPr bwMode="auto">
                          <a:xfrm>
                            <a:off x="0" y="0"/>
                            <a:ext cx="892219" cy="212677"/>
                          </a:xfrm>
                          <a:prstGeom prst="rect">
                            <a:avLst/>
                          </a:prstGeom>
                          <a:ln>
                            <a:noFill/>
                          </a:ln>
                          <a:extLst>
                            <a:ext uri="{53640926-AAD7-44D8-BBD7-CCE9431645EC}">
                              <a14:shadowObscured xmlns:a14="http://schemas.microsoft.com/office/drawing/2010/main"/>
                            </a:ext>
                          </a:extLst>
                        </pic:spPr>
                      </pic:pic>
                    </a:graphicData>
                  </a:graphic>
                </wp:inline>
              </w:drawing>
            </w:r>
          </w:p>
          <w:p w14:paraId="3E3953E6" w14:textId="05C75743" w:rsidR="00AA2B97" w:rsidRPr="00B31673" w:rsidRDefault="00AA2B97" w:rsidP="0013623E">
            <w:pPr>
              <w:ind w:left="130"/>
              <w:jc w:val="center"/>
              <w:rPr>
                <w:szCs w:val="22"/>
                <w14:shadow w14:blurRad="50800" w14:dist="38100" w14:dir="2700000" w14:sx="100000" w14:sy="100000" w14:kx="0" w14:ky="0" w14:algn="tl">
                  <w14:srgbClr w14:val="000000">
                    <w14:alpha w14:val="60000"/>
                  </w14:srgbClr>
                </w14:shadow>
              </w:rPr>
            </w:pPr>
          </w:p>
        </w:tc>
      </w:tr>
      <w:tr w:rsidR="0013623E" w:rsidRPr="00E36213" w14:paraId="3E3953EC" w14:textId="77777777">
        <w:trPr>
          <w:trHeight w:val="45"/>
          <w:tblCellSpacing w:w="20" w:type="dxa"/>
        </w:trPr>
        <w:tc>
          <w:tcPr>
            <w:tcW w:w="6801" w:type="dxa"/>
            <w:tcBorders>
              <w:top w:val="dotted" w:sz="8" w:space="0" w:color="000000"/>
              <w:right w:val="dotted" w:sz="8" w:space="0" w:color="000000"/>
            </w:tcBorders>
            <w:tcMar>
              <w:top w:w="15" w:type="dxa"/>
              <w:left w:w="15" w:type="dxa"/>
              <w:bottom w:w="15" w:type="dxa"/>
              <w:right w:w="15" w:type="dxa"/>
            </w:tcMar>
            <w:vAlign w:val="center"/>
          </w:tcPr>
          <w:p w14:paraId="3E3953E8" w14:textId="6EDAC16E" w:rsidR="00A23989" w:rsidRPr="00E36213" w:rsidRDefault="002B5333" w:rsidP="0013623E">
            <w:pPr>
              <w:ind w:left="130"/>
              <w:jc w:val="both"/>
              <w:rPr>
                <w:szCs w:val="22"/>
              </w:rPr>
            </w:pPr>
            <w:r w:rsidRPr="00E36213">
              <w:rPr>
                <w:szCs w:val="22"/>
              </w:rPr>
              <w:t> </w:t>
            </w:r>
          </w:p>
          <w:p w14:paraId="3E3953E9" w14:textId="77777777" w:rsidR="00A23989" w:rsidRPr="00B31673" w:rsidRDefault="002B5333" w:rsidP="0013623E">
            <w:pPr>
              <w:ind w:left="130"/>
              <w:jc w:val="center"/>
              <w:rPr>
                <w:szCs w:val="22"/>
                <w14:shadow w14:blurRad="50800" w14:dist="38100" w14:dir="2700000" w14:sx="100000" w14:sy="100000" w14:kx="0" w14:ky="0" w14:algn="tl">
                  <w14:srgbClr w14:val="000000">
                    <w14:alpha w14:val="60000"/>
                  </w14:srgbClr>
                </w14:shadow>
              </w:rPr>
            </w:pPr>
            <w:r w:rsidRPr="00E36213">
              <w:rPr>
                <w:szCs w:val="22"/>
              </w:rPr>
              <w:t xml:space="preserve">Earlier </w:t>
            </w:r>
            <w:proofErr w:type="gramStart"/>
            <w:r w:rsidRPr="00E36213">
              <w:rPr>
                <w:szCs w:val="22"/>
              </w:rPr>
              <w:t>trade mark</w:t>
            </w:r>
            <w:proofErr w:type="gramEnd"/>
          </w:p>
        </w:tc>
        <w:tc>
          <w:tcPr>
            <w:tcW w:w="5449" w:type="dxa"/>
            <w:tcBorders>
              <w:top w:val="dotted" w:sz="8" w:space="0" w:color="000000"/>
            </w:tcBorders>
            <w:tcMar>
              <w:top w:w="15" w:type="dxa"/>
              <w:left w:w="15" w:type="dxa"/>
              <w:bottom w:w="15" w:type="dxa"/>
              <w:right w:w="15" w:type="dxa"/>
            </w:tcMar>
            <w:vAlign w:val="center"/>
          </w:tcPr>
          <w:p w14:paraId="3E3953EA" w14:textId="5F194A73" w:rsidR="00A23989" w:rsidRPr="00E36213" w:rsidRDefault="002B5333" w:rsidP="0013623E">
            <w:pPr>
              <w:ind w:left="130"/>
              <w:jc w:val="both"/>
              <w:rPr>
                <w:szCs w:val="22"/>
              </w:rPr>
            </w:pPr>
            <w:r w:rsidRPr="00E36213">
              <w:rPr>
                <w:szCs w:val="22"/>
              </w:rPr>
              <w:t> </w:t>
            </w:r>
          </w:p>
          <w:p w14:paraId="3E3953EB" w14:textId="77777777" w:rsidR="00A23989" w:rsidRPr="00E36213" w:rsidRDefault="002B5333" w:rsidP="0013623E">
            <w:pPr>
              <w:ind w:left="130"/>
              <w:jc w:val="center"/>
              <w:rPr>
                <w:szCs w:val="22"/>
              </w:rPr>
            </w:pPr>
            <w:r w:rsidRPr="00E36213">
              <w:rPr>
                <w:szCs w:val="22"/>
              </w:rPr>
              <w:t>Contested sign</w:t>
            </w:r>
          </w:p>
        </w:tc>
      </w:tr>
    </w:tbl>
    <w:p w14:paraId="56BECB3F" w14:textId="77777777" w:rsidR="007214D7" w:rsidRPr="00E36213" w:rsidRDefault="007214D7" w:rsidP="0013623E">
      <w:pPr>
        <w:jc w:val="both"/>
        <w:rPr>
          <w:szCs w:val="22"/>
        </w:rPr>
      </w:pPr>
      <w:bookmarkStart w:id="13" w:name="chk-paragraph-9-3-3-2_nodeId--1371220369"/>
      <w:bookmarkEnd w:id="12"/>
    </w:p>
    <w:p w14:paraId="3E3953F2" w14:textId="78C15929" w:rsidR="00A23989" w:rsidRPr="00E36213" w:rsidRDefault="002B5333" w:rsidP="0013623E">
      <w:pPr>
        <w:jc w:val="both"/>
        <w:rPr>
          <w:szCs w:val="22"/>
        </w:rPr>
      </w:pPr>
      <w:r w:rsidRPr="00E36213">
        <w:rPr>
          <w:szCs w:val="22"/>
        </w:rPr>
        <w:t> </w:t>
      </w:r>
    </w:p>
    <w:p w14:paraId="3E3953F3" w14:textId="62D28881" w:rsidR="00A23989" w:rsidRPr="00E36213" w:rsidRDefault="002B5333" w:rsidP="0013623E">
      <w:pPr>
        <w:jc w:val="both"/>
        <w:rPr>
          <w:szCs w:val="22"/>
        </w:rPr>
      </w:pPr>
      <w:r w:rsidRPr="00E36213">
        <w:rPr>
          <w:szCs w:val="22"/>
        </w:rPr>
        <w:t xml:space="preserve">The relevant territory is </w:t>
      </w:r>
      <w:r w:rsidR="00C7576F" w:rsidRPr="00E36213">
        <w:rPr>
          <w:szCs w:val="22"/>
        </w:rPr>
        <w:t>France</w:t>
      </w:r>
      <w:r w:rsidRPr="00E36213">
        <w:rPr>
          <w:szCs w:val="22"/>
        </w:rPr>
        <w:t>.</w:t>
      </w:r>
    </w:p>
    <w:p w14:paraId="3E3953F4" w14:textId="3F62B31B" w:rsidR="00A23989" w:rsidRPr="00E36213" w:rsidRDefault="002B5333" w:rsidP="0013623E">
      <w:pPr>
        <w:jc w:val="both"/>
        <w:rPr>
          <w:szCs w:val="22"/>
        </w:rPr>
      </w:pPr>
      <w:r w:rsidRPr="00E36213">
        <w:rPr>
          <w:szCs w:val="22"/>
        </w:rPr>
        <w:t> </w:t>
      </w:r>
    </w:p>
    <w:p w14:paraId="3E3953F5" w14:textId="21DE0EA0" w:rsidR="00A23989" w:rsidRPr="00E36213" w:rsidRDefault="002B5333" w:rsidP="0013623E">
      <w:pPr>
        <w:jc w:val="both"/>
        <w:rPr>
          <w:szCs w:val="22"/>
        </w:rPr>
      </w:pPr>
      <w:r w:rsidRPr="00E36213">
        <w:rPr>
          <w:szCs w:val="22"/>
        </w:rPr>
        <w:t>The global appreciation of the visual, aural or conceptual similarity of the marks in question must be based on the overall impression given by the marks, bearing in mind</w:t>
      </w:r>
      <w:proofErr w:type="gramStart"/>
      <w:r w:rsidRPr="00E36213">
        <w:rPr>
          <w:szCs w:val="22"/>
        </w:rPr>
        <w:t>, in particular, their</w:t>
      </w:r>
      <w:proofErr w:type="gramEnd"/>
      <w:r w:rsidRPr="00E36213">
        <w:rPr>
          <w:szCs w:val="22"/>
        </w:rPr>
        <w:t xml:space="preserve"> distinctive and dominant components (11/11/1997, C</w:t>
      </w:r>
      <w:r w:rsidRPr="00E36213">
        <w:rPr>
          <w:rFonts w:ascii="Cambria Math" w:hAnsi="Cambria Math" w:cs="Cambria Math"/>
          <w:szCs w:val="22"/>
        </w:rPr>
        <w:t>‑</w:t>
      </w:r>
      <w:r w:rsidRPr="00E36213">
        <w:rPr>
          <w:szCs w:val="22"/>
        </w:rPr>
        <w:t xml:space="preserve">251/95, </w:t>
      </w:r>
      <w:proofErr w:type="spellStart"/>
      <w:r w:rsidRPr="00E36213">
        <w:rPr>
          <w:szCs w:val="22"/>
        </w:rPr>
        <w:t>Sabèl</w:t>
      </w:r>
      <w:proofErr w:type="spellEnd"/>
      <w:r w:rsidRPr="00E36213">
        <w:rPr>
          <w:szCs w:val="22"/>
        </w:rPr>
        <w:t>, EU:C:1997:528, § 23).</w:t>
      </w:r>
    </w:p>
    <w:p w14:paraId="3EF3346D" w14:textId="77777777" w:rsidR="00C7576F" w:rsidRPr="00E36213" w:rsidRDefault="00C7576F" w:rsidP="0013623E">
      <w:pPr>
        <w:jc w:val="both"/>
        <w:rPr>
          <w:szCs w:val="22"/>
        </w:rPr>
      </w:pPr>
    </w:p>
    <w:p w14:paraId="4597E885" w14:textId="5D804141" w:rsidR="00C75B1F" w:rsidRPr="00E36213" w:rsidRDefault="00C75B1F" w:rsidP="0013623E">
      <w:pPr>
        <w:jc w:val="both"/>
        <w:rPr>
          <w:szCs w:val="22"/>
        </w:rPr>
      </w:pPr>
      <w:r w:rsidRPr="00E36213">
        <w:rPr>
          <w:szCs w:val="22"/>
        </w:rPr>
        <w:t>The word ꞌJNANELꞌ</w:t>
      </w:r>
      <w:r w:rsidR="00C65F39" w:rsidRPr="00E36213">
        <w:rPr>
          <w:szCs w:val="22"/>
        </w:rPr>
        <w:t xml:space="preserve"> in the contested sign has no meaning and is, therefore, distinctive to a normal degree.</w:t>
      </w:r>
    </w:p>
    <w:p w14:paraId="6586F6A6" w14:textId="77777777" w:rsidR="00C65F39" w:rsidRPr="00E36213" w:rsidRDefault="00C65F39" w:rsidP="0013623E">
      <w:pPr>
        <w:jc w:val="both"/>
        <w:rPr>
          <w:szCs w:val="22"/>
        </w:rPr>
      </w:pPr>
    </w:p>
    <w:p w14:paraId="6CA87EAF" w14:textId="2D9F275D" w:rsidR="00C7576F" w:rsidRPr="00E36213" w:rsidRDefault="00C65F39" w:rsidP="0013623E">
      <w:pPr>
        <w:jc w:val="both"/>
        <w:rPr>
          <w:szCs w:val="22"/>
        </w:rPr>
      </w:pPr>
      <w:r w:rsidRPr="00E36213">
        <w:rPr>
          <w:szCs w:val="22"/>
        </w:rPr>
        <w:t>As regards the word ꞌCHANELꞌ of which the earlier mark consists, it</w:t>
      </w:r>
      <w:r w:rsidR="00C75B1F" w:rsidRPr="00E36213">
        <w:rPr>
          <w:spacing w:val="-3"/>
          <w:szCs w:val="22"/>
        </w:rPr>
        <w:t xml:space="preserve"> may be </w:t>
      </w:r>
      <w:r w:rsidRPr="00E36213">
        <w:rPr>
          <w:spacing w:val="-3"/>
          <w:szCs w:val="22"/>
        </w:rPr>
        <w:t>perceived as an unusual</w:t>
      </w:r>
      <w:r w:rsidR="00C75B1F" w:rsidRPr="00E36213">
        <w:rPr>
          <w:spacing w:val="-3"/>
          <w:szCs w:val="22"/>
        </w:rPr>
        <w:t xml:space="preserve"> surname by</w:t>
      </w:r>
      <w:r w:rsidRPr="00E36213">
        <w:rPr>
          <w:spacing w:val="-3"/>
          <w:szCs w:val="22"/>
        </w:rPr>
        <w:t xml:space="preserve"> a</w:t>
      </w:r>
      <w:r w:rsidR="00C75B1F" w:rsidRPr="00E36213">
        <w:rPr>
          <w:spacing w:val="-3"/>
          <w:szCs w:val="22"/>
        </w:rPr>
        <w:t xml:space="preserve"> part of the public</w:t>
      </w:r>
      <w:r w:rsidRPr="00E36213">
        <w:rPr>
          <w:spacing w:val="-3"/>
          <w:szCs w:val="22"/>
        </w:rPr>
        <w:t xml:space="preserve"> in the relevant territory but may also </w:t>
      </w:r>
      <w:r w:rsidR="00C75B1F" w:rsidRPr="00E36213">
        <w:rPr>
          <w:spacing w:val="-3"/>
          <w:szCs w:val="22"/>
        </w:rPr>
        <w:t>be perceived as lacking</w:t>
      </w:r>
      <w:r w:rsidR="00C75B1F" w:rsidRPr="00E36213">
        <w:rPr>
          <w:b/>
          <w:spacing w:val="-3"/>
          <w:szCs w:val="22"/>
        </w:rPr>
        <w:t xml:space="preserve"> </w:t>
      </w:r>
      <w:r w:rsidR="00C75B1F" w:rsidRPr="00E36213">
        <w:rPr>
          <w:spacing w:val="-3"/>
          <w:szCs w:val="22"/>
        </w:rPr>
        <w:t>any meaning</w:t>
      </w:r>
      <w:r w:rsidRPr="00E36213">
        <w:rPr>
          <w:spacing w:val="-3"/>
          <w:szCs w:val="22"/>
        </w:rPr>
        <w:t xml:space="preserve"> by another part of th</w:t>
      </w:r>
      <w:r w:rsidR="007214D7" w:rsidRPr="00E36213">
        <w:rPr>
          <w:spacing w:val="-3"/>
          <w:szCs w:val="22"/>
        </w:rPr>
        <w:t>e</w:t>
      </w:r>
      <w:r w:rsidRPr="00E36213">
        <w:rPr>
          <w:spacing w:val="-3"/>
          <w:szCs w:val="22"/>
        </w:rPr>
        <w:t xml:space="preserve"> public</w:t>
      </w:r>
      <w:r w:rsidR="007214D7" w:rsidRPr="00E36213">
        <w:rPr>
          <w:spacing w:val="-3"/>
          <w:szCs w:val="22"/>
        </w:rPr>
        <w:t xml:space="preserve"> in that territory</w:t>
      </w:r>
      <w:r w:rsidRPr="00E36213">
        <w:rPr>
          <w:spacing w:val="-3"/>
          <w:szCs w:val="22"/>
        </w:rPr>
        <w:t xml:space="preserve"> and which cannot </w:t>
      </w:r>
      <w:proofErr w:type="gramStart"/>
      <w:r w:rsidRPr="00E36213">
        <w:rPr>
          <w:spacing w:val="-3"/>
          <w:szCs w:val="22"/>
        </w:rPr>
        <w:t>be considered to be</w:t>
      </w:r>
      <w:proofErr w:type="gramEnd"/>
      <w:r w:rsidRPr="00E36213">
        <w:rPr>
          <w:spacing w:val="-3"/>
          <w:szCs w:val="22"/>
        </w:rPr>
        <w:t xml:space="preserve"> only negligible</w:t>
      </w:r>
      <w:r w:rsidR="00C75B1F" w:rsidRPr="00E36213">
        <w:rPr>
          <w:spacing w:val="-3"/>
          <w:szCs w:val="22"/>
        </w:rPr>
        <w:t>.</w:t>
      </w:r>
      <w:r w:rsidR="00A620F6" w:rsidRPr="00E36213">
        <w:rPr>
          <w:spacing w:val="-3"/>
          <w:szCs w:val="22"/>
        </w:rPr>
        <w:t xml:space="preserve"> Either way, since </w:t>
      </w:r>
      <w:r w:rsidR="00A620F6" w:rsidRPr="00E36213">
        <w:rPr>
          <w:szCs w:val="22"/>
        </w:rPr>
        <w:t xml:space="preserve">the word ꞌCHANELꞌ will not be perceived as having any </w:t>
      </w:r>
      <w:proofErr w:type="gramStart"/>
      <w:r w:rsidR="00A620F6" w:rsidRPr="00E36213">
        <w:rPr>
          <w:szCs w:val="22"/>
        </w:rPr>
        <w:t>particular meaning</w:t>
      </w:r>
      <w:proofErr w:type="gramEnd"/>
      <w:r w:rsidR="00A620F6" w:rsidRPr="00E36213">
        <w:rPr>
          <w:szCs w:val="22"/>
        </w:rPr>
        <w:t xml:space="preserve"> in relation to the goods concerned, it is also distinctive to a normal degree.</w:t>
      </w:r>
    </w:p>
    <w:p w14:paraId="56ECA183" w14:textId="77777777" w:rsidR="007214D7" w:rsidRPr="00E36213" w:rsidRDefault="007214D7" w:rsidP="0013623E">
      <w:pPr>
        <w:jc w:val="both"/>
        <w:rPr>
          <w:spacing w:val="-3"/>
          <w:szCs w:val="22"/>
        </w:rPr>
      </w:pPr>
    </w:p>
    <w:p w14:paraId="758F7C1A" w14:textId="674C48F9" w:rsidR="00A620F6" w:rsidRPr="00E36213" w:rsidRDefault="00A620F6" w:rsidP="0013623E">
      <w:pPr>
        <w:jc w:val="both"/>
        <w:rPr>
          <w:szCs w:val="22"/>
        </w:rPr>
      </w:pPr>
      <w:r w:rsidRPr="00E36213">
        <w:rPr>
          <w:spacing w:val="-3"/>
          <w:szCs w:val="22"/>
        </w:rPr>
        <w:lastRenderedPageBreak/>
        <w:t xml:space="preserve">However, </w:t>
      </w:r>
      <w:r w:rsidRPr="00E36213">
        <w:rPr>
          <w:szCs w:val="22"/>
        </w:rPr>
        <w:t>since a conceptual difference between the signs could potentially have an impact on the outcome of the opposition, and since it is not necessary to establish that there is a likelihood of confusion for the whole of the relevant public (20/07/2017, T</w:t>
      </w:r>
      <w:r w:rsidRPr="00E36213">
        <w:rPr>
          <w:szCs w:val="22"/>
        </w:rPr>
        <w:noBreakHyphen/>
        <w:t>521/15, D / D et al., EU:T:2017:536, § 69), the Opposition Division finds it appropriate to focus the comparison of the signs on the, at least, non-negligible part of the public in the relevant territory that will perceive both ꞌJNANELꞌ and ꞌCHANELꞌ as conveying no meaning.</w:t>
      </w:r>
    </w:p>
    <w:p w14:paraId="3E3953F8" w14:textId="65D8F9D4" w:rsidR="00A23989" w:rsidRPr="00E36213" w:rsidRDefault="002B5333" w:rsidP="0013623E">
      <w:pPr>
        <w:jc w:val="both"/>
        <w:rPr>
          <w:szCs w:val="22"/>
        </w:rPr>
      </w:pPr>
      <w:bookmarkStart w:id="14" w:name="chk-paragraph-9-3-3-2-6_nodeId-141804686"/>
      <w:bookmarkEnd w:id="13"/>
      <w:r w:rsidRPr="00E36213">
        <w:rPr>
          <w:szCs w:val="22"/>
        </w:rPr>
        <w:t> </w:t>
      </w:r>
    </w:p>
    <w:p w14:paraId="456506AB" w14:textId="19FD7069" w:rsidR="00515974" w:rsidRPr="00E36213" w:rsidRDefault="002B5333" w:rsidP="0013623E">
      <w:pPr>
        <w:jc w:val="both"/>
        <w:rPr>
          <w:szCs w:val="22"/>
        </w:rPr>
      </w:pPr>
      <w:r w:rsidRPr="00E36213">
        <w:rPr>
          <w:b/>
          <w:szCs w:val="22"/>
        </w:rPr>
        <w:t>Visually</w:t>
      </w:r>
      <w:r w:rsidRPr="00E36213">
        <w:rPr>
          <w:szCs w:val="22"/>
        </w:rPr>
        <w:t xml:space="preserve">, </w:t>
      </w:r>
      <w:r w:rsidR="00A620F6" w:rsidRPr="00E36213">
        <w:rPr>
          <w:szCs w:val="22"/>
        </w:rPr>
        <w:t xml:space="preserve">both signs consist of </w:t>
      </w:r>
      <w:r w:rsidR="00515974" w:rsidRPr="00E36213">
        <w:rPr>
          <w:szCs w:val="22"/>
        </w:rPr>
        <w:t xml:space="preserve">a </w:t>
      </w:r>
      <w:r w:rsidR="00A620F6" w:rsidRPr="00E36213">
        <w:rPr>
          <w:szCs w:val="22"/>
        </w:rPr>
        <w:t xml:space="preserve">word with six letters where they coincide in the last four in the same </w:t>
      </w:r>
      <w:r w:rsidR="00515974" w:rsidRPr="00E36213">
        <w:rPr>
          <w:szCs w:val="22"/>
        </w:rPr>
        <w:t xml:space="preserve">order, namely ꞌANELꞌ. However, they differ in their initial two letters ꞌCHꞌ and ꞌJNꞌ respectively. Although that must be considered to constitute a perceptible difference between the signs, in particular since that difference is present at their respective beginnings, it must also be borne in mind that the overall impression of the marks has to be taken into account since the average consumer normally perceives a mark as a whole and does not engage in an analysis of its various details </w:t>
      </w:r>
      <w:bookmarkStart w:id="15" w:name="_Hlk207274321"/>
      <w:r w:rsidR="00515974" w:rsidRPr="00E36213">
        <w:rPr>
          <w:szCs w:val="22"/>
        </w:rPr>
        <w:t>(12/06/2007, C</w:t>
      </w:r>
      <w:r w:rsidR="00515974" w:rsidRPr="00E36213">
        <w:rPr>
          <w:rFonts w:ascii="Cambria Math" w:hAnsi="Cambria Math" w:cs="Cambria Math"/>
          <w:szCs w:val="22"/>
        </w:rPr>
        <w:t>‑</w:t>
      </w:r>
      <w:r w:rsidR="00515974" w:rsidRPr="00E36213">
        <w:rPr>
          <w:szCs w:val="22"/>
        </w:rPr>
        <w:t>334/05 P, LIMONCELLO/LIMONCHELO, EU:C:2007:333, § 35).</w:t>
      </w:r>
      <w:bookmarkEnd w:id="15"/>
    </w:p>
    <w:p w14:paraId="4FBDA1F7" w14:textId="77777777" w:rsidR="00515974" w:rsidRPr="00E36213" w:rsidRDefault="00515974" w:rsidP="0013623E">
      <w:pPr>
        <w:jc w:val="both"/>
        <w:rPr>
          <w:szCs w:val="22"/>
        </w:rPr>
      </w:pPr>
    </w:p>
    <w:p w14:paraId="0A6B4EE7" w14:textId="456C8252" w:rsidR="00515974" w:rsidRPr="00E36213" w:rsidRDefault="00515974" w:rsidP="0013623E">
      <w:pPr>
        <w:jc w:val="both"/>
        <w:rPr>
          <w:szCs w:val="22"/>
        </w:rPr>
      </w:pPr>
      <w:r w:rsidRPr="00E36213">
        <w:rPr>
          <w:szCs w:val="22"/>
        </w:rPr>
        <w:t>Furthermore, the General Court has confirmed that what matters in the assessment of the visual similarity of two word marks is the presence, in each of them, of several letters in the same order (25/03/2009, T-402/07, ARCOL / CAPOL, EU:T:2009:85, § 83; 04/03/2010, C</w:t>
      </w:r>
      <w:r w:rsidRPr="00E36213">
        <w:rPr>
          <w:szCs w:val="22"/>
        </w:rPr>
        <w:noBreakHyphen/>
        <w:t>193/09 P, ARCOL / CAPOL, EU:C:2010:121; 08/09/2021, T</w:t>
      </w:r>
      <w:r w:rsidRPr="00E36213">
        <w:rPr>
          <w:szCs w:val="22"/>
        </w:rPr>
        <w:noBreakHyphen/>
        <w:t xml:space="preserve">584/20, </w:t>
      </w:r>
      <w:proofErr w:type="spellStart"/>
      <w:r w:rsidRPr="00E36213">
        <w:rPr>
          <w:szCs w:val="22"/>
        </w:rPr>
        <w:t>Korsuva</w:t>
      </w:r>
      <w:proofErr w:type="spellEnd"/>
      <w:r w:rsidRPr="00E36213">
        <w:rPr>
          <w:szCs w:val="22"/>
        </w:rPr>
        <w:t xml:space="preserve"> / </w:t>
      </w:r>
      <w:proofErr w:type="spellStart"/>
      <w:r w:rsidRPr="00E36213">
        <w:rPr>
          <w:szCs w:val="22"/>
        </w:rPr>
        <w:t>Arosuva</w:t>
      </w:r>
      <w:proofErr w:type="spellEnd"/>
      <w:r w:rsidRPr="00E36213">
        <w:rPr>
          <w:szCs w:val="22"/>
        </w:rPr>
        <w:t xml:space="preserve">, EU:T:2021:541, § 27; 07/06/2023, T-227/22, Cylus / Cylance, EU:T:2023:306, § 53). Moreover, the </w:t>
      </w:r>
      <w:proofErr w:type="spellStart"/>
      <w:r w:rsidRPr="00E36213">
        <w:rPr>
          <w:szCs w:val="22"/>
        </w:rPr>
        <w:t>stylisation</w:t>
      </w:r>
      <w:proofErr w:type="spellEnd"/>
      <w:r w:rsidRPr="00E36213">
        <w:rPr>
          <w:szCs w:val="22"/>
        </w:rPr>
        <w:t xml:space="preserve"> of the verbal element in the contested sign is limited to a standard bold typeface that will have no </w:t>
      </w:r>
      <w:proofErr w:type="gramStart"/>
      <w:r w:rsidRPr="00E36213">
        <w:rPr>
          <w:szCs w:val="22"/>
        </w:rPr>
        <w:t>particular impact</w:t>
      </w:r>
      <w:proofErr w:type="gramEnd"/>
      <w:r w:rsidRPr="00E36213">
        <w:rPr>
          <w:szCs w:val="22"/>
        </w:rPr>
        <w:t xml:space="preserve"> on the overall impression produced by the contested sign on consumers.</w:t>
      </w:r>
    </w:p>
    <w:p w14:paraId="38FB6463" w14:textId="51BE9BB4" w:rsidR="00515974" w:rsidRPr="00E36213" w:rsidRDefault="00515974" w:rsidP="0013623E">
      <w:pPr>
        <w:jc w:val="both"/>
        <w:rPr>
          <w:szCs w:val="22"/>
        </w:rPr>
      </w:pPr>
    </w:p>
    <w:p w14:paraId="33D0B158" w14:textId="6D9FF7C5" w:rsidR="00515974" w:rsidRPr="00E36213" w:rsidRDefault="00515974" w:rsidP="0013623E">
      <w:pPr>
        <w:jc w:val="both"/>
        <w:rPr>
          <w:szCs w:val="22"/>
        </w:rPr>
      </w:pPr>
      <w:r w:rsidRPr="00E36213">
        <w:rPr>
          <w:szCs w:val="22"/>
        </w:rPr>
        <w:t>Therefore, the signs are visually similar at least to a below average degree overall.</w:t>
      </w:r>
    </w:p>
    <w:p w14:paraId="3E395404" w14:textId="6C80A9D9" w:rsidR="00A23989" w:rsidRPr="00E36213" w:rsidRDefault="00A23989" w:rsidP="0013623E">
      <w:pPr>
        <w:jc w:val="both"/>
        <w:rPr>
          <w:szCs w:val="22"/>
        </w:rPr>
      </w:pPr>
      <w:bookmarkStart w:id="16" w:name="chk-paragraph-9-3-3-2-7_nodeId--78903758"/>
      <w:bookmarkEnd w:id="14"/>
    </w:p>
    <w:p w14:paraId="645C7500" w14:textId="0C7B576A" w:rsidR="00737BAF" w:rsidRPr="00E36213" w:rsidRDefault="002B5333" w:rsidP="0013623E">
      <w:pPr>
        <w:jc w:val="both"/>
        <w:rPr>
          <w:szCs w:val="22"/>
        </w:rPr>
      </w:pPr>
      <w:r w:rsidRPr="00E36213">
        <w:rPr>
          <w:b/>
          <w:szCs w:val="22"/>
        </w:rPr>
        <w:t>Aurally</w:t>
      </w:r>
      <w:r w:rsidRPr="00E36213">
        <w:rPr>
          <w:szCs w:val="22"/>
        </w:rPr>
        <w:t>,</w:t>
      </w:r>
      <w:r w:rsidR="00737BAF" w:rsidRPr="00E36213">
        <w:rPr>
          <w:szCs w:val="22"/>
        </w:rPr>
        <w:t xml:space="preserve"> the earlier mark will be pronounced as ꞌCHA-NELꞌ whereas the contested sign is likely to be pronounced as ꞌJ-NA-NELꞌ. Therefore, the signs coincide in the identical sound of their respective last syllable ꞌNELꞌ. Furthermore, even if the earlier mark will be pronounced in two syllables whereas the contested sign is likely to be pronounced in three, it should also be borne in mind that the letters ꞌCHꞌ are pronounced as [ʃ] whereas the letter ꞌJꞌ is likely to be pronounced as [</w:t>
      </w:r>
      <w:proofErr w:type="spellStart"/>
      <w:r w:rsidR="00737BAF" w:rsidRPr="00E36213">
        <w:rPr>
          <w:szCs w:val="22"/>
        </w:rPr>
        <w:t>ʒ</w:t>
      </w:r>
      <w:r w:rsidR="00800B51" w:rsidRPr="00E36213">
        <w:rPr>
          <w:szCs w:val="22"/>
        </w:rPr>
        <w:t>i</w:t>
      </w:r>
      <w:proofErr w:type="spellEnd"/>
      <w:r w:rsidR="00737BAF" w:rsidRPr="00E36213">
        <w:rPr>
          <w:szCs w:val="22"/>
        </w:rPr>
        <w:t xml:space="preserve">] and </w:t>
      </w:r>
      <w:r w:rsidR="0035789F" w:rsidRPr="00E36213">
        <w:rPr>
          <w:szCs w:val="22"/>
        </w:rPr>
        <w:t xml:space="preserve">those letters </w:t>
      </w:r>
      <w:r w:rsidR="00737BAF" w:rsidRPr="00E36213">
        <w:rPr>
          <w:szCs w:val="22"/>
        </w:rPr>
        <w:t>will thus share some aural similarity</w:t>
      </w:r>
      <w:r w:rsidR="0035789F" w:rsidRPr="00E36213">
        <w:rPr>
          <w:szCs w:val="22"/>
        </w:rPr>
        <w:t xml:space="preserve"> between them</w:t>
      </w:r>
      <w:r w:rsidR="00737BAF" w:rsidRPr="00E36213">
        <w:rPr>
          <w:szCs w:val="22"/>
        </w:rPr>
        <w:t xml:space="preserve">. Moreover, the sound of the letter ꞌAꞌ in the earlier mark and the letters ꞌNAꞌ in the contested sign also share an aural similarity. </w:t>
      </w:r>
      <w:r w:rsidRPr="00E36213">
        <w:rPr>
          <w:szCs w:val="22"/>
        </w:rPr>
        <w:t>In addition</w:t>
      </w:r>
      <w:r w:rsidR="00737BAF" w:rsidRPr="00E36213">
        <w:rPr>
          <w:szCs w:val="22"/>
        </w:rPr>
        <w:t>, the pronunciation of the earlier mark in two syllables and the contested sign in three syllables does not, in the present case, have a significant impact on the rhythm and intonation of those words.</w:t>
      </w:r>
    </w:p>
    <w:p w14:paraId="3E39540E" w14:textId="4274735B" w:rsidR="00A23989" w:rsidRPr="00E36213" w:rsidRDefault="002B5333" w:rsidP="0013623E">
      <w:pPr>
        <w:jc w:val="both"/>
        <w:rPr>
          <w:szCs w:val="22"/>
        </w:rPr>
      </w:pPr>
      <w:r w:rsidRPr="00E36213">
        <w:rPr>
          <w:szCs w:val="22"/>
        </w:rPr>
        <w:t> </w:t>
      </w:r>
    </w:p>
    <w:p w14:paraId="3E39541C" w14:textId="528C22C1" w:rsidR="00A23989" w:rsidRPr="00E36213" w:rsidRDefault="002B5333" w:rsidP="0013623E">
      <w:pPr>
        <w:jc w:val="both"/>
        <w:rPr>
          <w:b/>
          <w:szCs w:val="22"/>
        </w:rPr>
      </w:pPr>
      <w:r w:rsidRPr="00E36213">
        <w:rPr>
          <w:szCs w:val="22"/>
        </w:rPr>
        <w:t>Therefore, the signs are</w:t>
      </w:r>
      <w:r w:rsidR="00737BAF" w:rsidRPr="00E36213">
        <w:rPr>
          <w:szCs w:val="22"/>
        </w:rPr>
        <w:t xml:space="preserve"> aurally similar to an above average degree.</w:t>
      </w:r>
      <w:r w:rsidRPr="00E36213">
        <w:rPr>
          <w:szCs w:val="22"/>
        </w:rPr>
        <w:t> </w:t>
      </w:r>
      <w:bookmarkStart w:id="17" w:name="chk-paragraph-9-3-3-2-8_nodeId-190523850"/>
      <w:bookmarkEnd w:id="16"/>
    </w:p>
    <w:p w14:paraId="1A8BC412" w14:textId="77777777" w:rsidR="00737BAF" w:rsidRPr="00E36213" w:rsidRDefault="00737BAF" w:rsidP="0013623E">
      <w:pPr>
        <w:jc w:val="both"/>
        <w:rPr>
          <w:szCs w:val="22"/>
        </w:rPr>
      </w:pPr>
    </w:p>
    <w:p w14:paraId="3E39541D" w14:textId="3B9EE03C" w:rsidR="00A23989" w:rsidRPr="00E36213" w:rsidRDefault="002B5333" w:rsidP="0013623E">
      <w:pPr>
        <w:jc w:val="both"/>
        <w:rPr>
          <w:szCs w:val="22"/>
        </w:rPr>
      </w:pPr>
      <w:r w:rsidRPr="00E36213">
        <w:rPr>
          <w:b/>
          <w:szCs w:val="22"/>
        </w:rPr>
        <w:t>Conceptually</w:t>
      </w:r>
      <w:r w:rsidRPr="00E36213">
        <w:rPr>
          <w:szCs w:val="22"/>
        </w:rPr>
        <w:t xml:space="preserve">, neither of the signs has a meaning for the </w:t>
      </w:r>
      <w:r w:rsidR="00737BAF" w:rsidRPr="00E36213">
        <w:rPr>
          <w:szCs w:val="22"/>
        </w:rPr>
        <w:t xml:space="preserve">part of the </w:t>
      </w:r>
      <w:r w:rsidRPr="00E36213">
        <w:rPr>
          <w:szCs w:val="22"/>
        </w:rPr>
        <w:t>public</w:t>
      </w:r>
      <w:r w:rsidR="00737BAF" w:rsidRPr="00E36213">
        <w:rPr>
          <w:szCs w:val="22"/>
        </w:rPr>
        <w:t xml:space="preserve"> under analysis</w:t>
      </w:r>
      <w:r w:rsidRPr="00E36213">
        <w:rPr>
          <w:szCs w:val="22"/>
        </w:rPr>
        <w:t xml:space="preserve"> in the relevant territory. Since a conceptual comparison is not possible, the conceptual aspect does not influence the assessment of the similarity of the signs.</w:t>
      </w:r>
    </w:p>
    <w:p w14:paraId="3E39541E" w14:textId="539698F4" w:rsidR="00A23989" w:rsidRPr="00E36213" w:rsidRDefault="002B5333" w:rsidP="0013623E">
      <w:pPr>
        <w:jc w:val="both"/>
        <w:rPr>
          <w:szCs w:val="22"/>
        </w:rPr>
      </w:pPr>
      <w:r w:rsidRPr="00E36213">
        <w:rPr>
          <w:szCs w:val="22"/>
        </w:rPr>
        <w:t> </w:t>
      </w:r>
    </w:p>
    <w:p w14:paraId="3E395434" w14:textId="0A15F0EB" w:rsidR="00A23989" w:rsidRPr="00E36213" w:rsidRDefault="002B5333" w:rsidP="0013623E">
      <w:pPr>
        <w:jc w:val="both"/>
        <w:rPr>
          <w:szCs w:val="22"/>
        </w:rPr>
      </w:pPr>
      <w:r w:rsidRPr="00E36213">
        <w:rPr>
          <w:szCs w:val="22"/>
        </w:rPr>
        <w:t> </w:t>
      </w:r>
    </w:p>
    <w:p w14:paraId="3E395435" w14:textId="46925ECE" w:rsidR="00A23989" w:rsidRPr="00E36213" w:rsidRDefault="002B5333" w:rsidP="0013623E">
      <w:pPr>
        <w:jc w:val="both"/>
        <w:rPr>
          <w:szCs w:val="22"/>
        </w:rPr>
      </w:pPr>
      <w:bookmarkStart w:id="18" w:name="chk-paragraph-9-3-4_nodeId-712655740"/>
      <w:bookmarkEnd w:id="17"/>
      <w:r w:rsidRPr="00E36213">
        <w:rPr>
          <w:b/>
          <w:szCs w:val="22"/>
        </w:rPr>
        <w:t>d) Distinctiveness of the earlier mark</w:t>
      </w:r>
    </w:p>
    <w:p w14:paraId="3E395436" w14:textId="1145C90D" w:rsidR="00A23989" w:rsidRPr="00E36213" w:rsidRDefault="002B5333" w:rsidP="0013623E">
      <w:pPr>
        <w:jc w:val="both"/>
        <w:rPr>
          <w:szCs w:val="22"/>
        </w:rPr>
      </w:pPr>
      <w:r w:rsidRPr="00E36213">
        <w:rPr>
          <w:szCs w:val="22"/>
        </w:rPr>
        <w:t> </w:t>
      </w:r>
    </w:p>
    <w:p w14:paraId="3E395437" w14:textId="77777777" w:rsidR="00A23989" w:rsidRPr="00E36213" w:rsidRDefault="002B5333" w:rsidP="0013623E">
      <w:pPr>
        <w:jc w:val="both"/>
        <w:rPr>
          <w:szCs w:val="22"/>
        </w:rPr>
      </w:pPr>
      <w:r w:rsidRPr="00E36213">
        <w:rPr>
          <w:szCs w:val="22"/>
        </w:rPr>
        <w:t xml:space="preserve">The distinctiveness of the earlier mark is one of the factors to be </w:t>
      </w:r>
      <w:proofErr w:type="gramStart"/>
      <w:r w:rsidRPr="00E36213">
        <w:rPr>
          <w:szCs w:val="22"/>
        </w:rPr>
        <w:t>taken into account</w:t>
      </w:r>
      <w:proofErr w:type="gramEnd"/>
      <w:r w:rsidRPr="00E36213">
        <w:rPr>
          <w:szCs w:val="22"/>
        </w:rPr>
        <w:t xml:space="preserve"> in the global assessment of likelihood of confusion.</w:t>
      </w:r>
    </w:p>
    <w:p w14:paraId="3E39543A" w14:textId="26CAA5C1" w:rsidR="00A23989" w:rsidRPr="00E36213" w:rsidRDefault="002B5333" w:rsidP="0013623E">
      <w:pPr>
        <w:jc w:val="both"/>
        <w:rPr>
          <w:szCs w:val="22"/>
        </w:rPr>
      </w:pPr>
      <w:bookmarkStart w:id="19" w:name="chk-paragraph-9-3-4-7_nodeId-2096283893"/>
      <w:bookmarkEnd w:id="18"/>
      <w:r w:rsidRPr="00E36213">
        <w:rPr>
          <w:szCs w:val="22"/>
        </w:rPr>
        <w:t> </w:t>
      </w:r>
    </w:p>
    <w:p w14:paraId="3E39543C" w14:textId="32A27332" w:rsidR="00A23989" w:rsidRPr="00E36213" w:rsidRDefault="002B5333" w:rsidP="0013623E">
      <w:pPr>
        <w:jc w:val="both"/>
        <w:rPr>
          <w:szCs w:val="22"/>
        </w:rPr>
      </w:pPr>
      <w:r w:rsidRPr="00E36213">
        <w:rPr>
          <w:szCs w:val="22"/>
        </w:rPr>
        <w:t>According to the opponent, the earlier mark has been</w:t>
      </w:r>
      <w:r w:rsidR="0035789F" w:rsidRPr="00E36213">
        <w:rPr>
          <w:szCs w:val="22"/>
        </w:rPr>
        <w:t xml:space="preserve"> subject to intensive and long-standing use, starting more than 100 years ago, and </w:t>
      </w:r>
      <w:r w:rsidRPr="00E36213">
        <w:rPr>
          <w:szCs w:val="22"/>
        </w:rPr>
        <w:t xml:space="preserve">enjoys </w:t>
      </w:r>
      <w:r w:rsidR="0035789F" w:rsidRPr="00E36213">
        <w:rPr>
          <w:szCs w:val="22"/>
        </w:rPr>
        <w:t>a very strong reputation in the relevant territory</w:t>
      </w:r>
      <w:r w:rsidRPr="00E36213">
        <w:rPr>
          <w:szCs w:val="22"/>
        </w:rPr>
        <w:t>.</w:t>
      </w:r>
      <w:r w:rsidR="0035789F" w:rsidRPr="00E36213">
        <w:rPr>
          <w:szCs w:val="22"/>
        </w:rPr>
        <w:t xml:space="preserve"> Therefore, the earlier mark has allegedly a particularly high distinctive character.</w:t>
      </w:r>
      <w:r w:rsidRPr="00E36213">
        <w:rPr>
          <w:szCs w:val="22"/>
        </w:rPr>
        <w:t xml:space="preserve"> However, for reasons of procedural economy, the evidence filed by the opponent to prove this claim does not have to be assessed in the present case (see below in ‘Global assessment’). </w:t>
      </w:r>
    </w:p>
    <w:p w14:paraId="3C1ADA49" w14:textId="77777777" w:rsidR="0035789F" w:rsidRPr="00E36213" w:rsidRDefault="0035789F" w:rsidP="0013623E">
      <w:pPr>
        <w:jc w:val="both"/>
        <w:rPr>
          <w:szCs w:val="22"/>
        </w:rPr>
      </w:pPr>
    </w:p>
    <w:p w14:paraId="3E39543D" w14:textId="79E8F7CC" w:rsidR="00A23989" w:rsidRPr="00E36213" w:rsidRDefault="002B5333" w:rsidP="0013623E">
      <w:pPr>
        <w:jc w:val="both"/>
        <w:rPr>
          <w:szCs w:val="22"/>
        </w:rPr>
      </w:pPr>
      <w:bookmarkStart w:id="20" w:name="chk-paragraph-9-3-4-7-1_nodeId-190880498"/>
      <w:bookmarkEnd w:id="19"/>
      <w:r w:rsidRPr="00E36213">
        <w:rPr>
          <w:szCs w:val="22"/>
        </w:rPr>
        <w:t xml:space="preserve">Consequently, the assessment of the distinctiveness of the earlier mark will rest on its distinctiveness per se. In the present case, the earlier </w:t>
      </w:r>
      <w:proofErr w:type="gramStart"/>
      <w:r w:rsidRPr="00E36213">
        <w:rPr>
          <w:szCs w:val="22"/>
        </w:rPr>
        <w:t>trade mark</w:t>
      </w:r>
      <w:proofErr w:type="gramEnd"/>
      <w:r w:rsidRPr="00E36213">
        <w:rPr>
          <w:szCs w:val="22"/>
        </w:rPr>
        <w:t xml:space="preserve"> has no meaning for the</w:t>
      </w:r>
      <w:r w:rsidR="0035789F" w:rsidRPr="00E36213">
        <w:rPr>
          <w:szCs w:val="22"/>
        </w:rPr>
        <w:t xml:space="preserve"> goods</w:t>
      </w:r>
      <w:r w:rsidR="00E36213" w:rsidRPr="00E36213">
        <w:rPr>
          <w:szCs w:val="22"/>
        </w:rPr>
        <w:t xml:space="preserve"> </w:t>
      </w:r>
      <w:r w:rsidRPr="00E36213">
        <w:rPr>
          <w:szCs w:val="22"/>
        </w:rPr>
        <w:t xml:space="preserve">in question from the perspective of the public </w:t>
      </w:r>
      <w:r w:rsidR="0035789F" w:rsidRPr="00E36213">
        <w:rPr>
          <w:szCs w:val="22"/>
        </w:rPr>
        <w:t xml:space="preserve">under analysis </w:t>
      </w:r>
      <w:r w:rsidRPr="00E36213">
        <w:rPr>
          <w:szCs w:val="22"/>
        </w:rPr>
        <w:t>in the relevant territory. Therefore, the distinctiveness of the earlier mark must be seen as normal</w:t>
      </w:r>
      <w:r w:rsidR="0035789F" w:rsidRPr="00E36213">
        <w:rPr>
          <w:szCs w:val="22"/>
        </w:rPr>
        <w:t>.</w:t>
      </w:r>
    </w:p>
    <w:p w14:paraId="783051D0" w14:textId="77777777" w:rsidR="0035789F" w:rsidRPr="00E36213" w:rsidRDefault="0035789F" w:rsidP="0013623E">
      <w:pPr>
        <w:jc w:val="both"/>
        <w:rPr>
          <w:szCs w:val="22"/>
        </w:rPr>
      </w:pPr>
    </w:p>
    <w:p w14:paraId="3E39543E" w14:textId="707EEC26" w:rsidR="00A23989" w:rsidRPr="00E36213" w:rsidRDefault="002B5333" w:rsidP="0013623E">
      <w:pPr>
        <w:jc w:val="both"/>
        <w:rPr>
          <w:szCs w:val="22"/>
        </w:rPr>
      </w:pPr>
      <w:r w:rsidRPr="00E36213">
        <w:rPr>
          <w:szCs w:val="22"/>
        </w:rPr>
        <w:t> </w:t>
      </w:r>
    </w:p>
    <w:p w14:paraId="3E39543F" w14:textId="52919B33" w:rsidR="00A23989" w:rsidRPr="00E36213" w:rsidRDefault="002B5333" w:rsidP="0013623E">
      <w:pPr>
        <w:jc w:val="both"/>
        <w:rPr>
          <w:szCs w:val="22"/>
        </w:rPr>
      </w:pPr>
      <w:bookmarkStart w:id="21" w:name="chk-paragraph-9-3-5_nodeId--1332642858"/>
      <w:bookmarkEnd w:id="20"/>
      <w:r w:rsidRPr="00E36213">
        <w:rPr>
          <w:b/>
          <w:szCs w:val="22"/>
        </w:rPr>
        <w:t>e) Global assessment, other arguments and conclusion</w:t>
      </w:r>
    </w:p>
    <w:p w14:paraId="235BC227" w14:textId="77777777" w:rsidR="0035789F" w:rsidRPr="00E36213" w:rsidRDefault="0035789F" w:rsidP="0013623E">
      <w:pPr>
        <w:jc w:val="both"/>
        <w:rPr>
          <w:szCs w:val="22"/>
        </w:rPr>
      </w:pPr>
    </w:p>
    <w:p w14:paraId="12342305" w14:textId="739B10FC" w:rsidR="0035789F" w:rsidRPr="00E36213" w:rsidRDefault="0035789F" w:rsidP="0013623E">
      <w:pPr>
        <w:jc w:val="both"/>
        <w:rPr>
          <w:szCs w:val="22"/>
        </w:rPr>
      </w:pPr>
      <w:r w:rsidRPr="00E36213">
        <w:rPr>
          <w:szCs w:val="22"/>
        </w:rPr>
        <w:t>Evaluating likelihood of confusion implies some interdependence between the relevant factors and</w:t>
      </w:r>
      <w:proofErr w:type="gramStart"/>
      <w:r w:rsidRPr="00E36213">
        <w:rPr>
          <w:szCs w:val="22"/>
        </w:rPr>
        <w:t>, in particular, a</w:t>
      </w:r>
      <w:proofErr w:type="gramEnd"/>
      <w:r w:rsidRPr="00E36213">
        <w:rPr>
          <w:szCs w:val="22"/>
        </w:rPr>
        <w:t xml:space="preserve"> similarity between the marks and between the goods or services. Therefore, </w:t>
      </w:r>
      <w:proofErr w:type="gramStart"/>
      <w:r w:rsidRPr="00E36213">
        <w:rPr>
          <w:szCs w:val="22"/>
        </w:rPr>
        <w:t>a lesser degree of</w:t>
      </w:r>
      <w:proofErr w:type="gramEnd"/>
      <w:r w:rsidRPr="00E36213">
        <w:rPr>
          <w:szCs w:val="22"/>
        </w:rPr>
        <w:t xml:space="preserve"> similarity between goods and services may be offset by a greater degree of similarity between the marks and vice versa (29/09/1998, C</w:t>
      </w:r>
      <w:r w:rsidRPr="00E36213">
        <w:rPr>
          <w:rFonts w:ascii="Cambria Math" w:hAnsi="Cambria Math" w:cs="Cambria Math"/>
          <w:szCs w:val="22"/>
        </w:rPr>
        <w:t>‑</w:t>
      </w:r>
      <w:r w:rsidRPr="00E36213">
        <w:rPr>
          <w:szCs w:val="22"/>
        </w:rPr>
        <w:t>39/97, Canon, EU:C:1998:442, § 17).</w:t>
      </w:r>
    </w:p>
    <w:p w14:paraId="753029EA" w14:textId="31C08517" w:rsidR="0035789F" w:rsidRPr="00E36213" w:rsidRDefault="0035789F" w:rsidP="0013623E">
      <w:pPr>
        <w:jc w:val="both"/>
        <w:rPr>
          <w:szCs w:val="22"/>
        </w:rPr>
      </w:pPr>
      <w:r w:rsidRPr="00E36213">
        <w:rPr>
          <w:szCs w:val="22"/>
        </w:rPr>
        <w:t> </w:t>
      </w:r>
    </w:p>
    <w:p w14:paraId="53C4F190" w14:textId="107EF5ED" w:rsidR="0035789F" w:rsidRPr="00E36213" w:rsidRDefault="0035789F" w:rsidP="0013623E">
      <w:pPr>
        <w:jc w:val="both"/>
        <w:rPr>
          <w:szCs w:val="22"/>
        </w:rPr>
      </w:pPr>
      <w:r w:rsidRPr="00E36213">
        <w:rPr>
          <w:szCs w:val="22"/>
        </w:rPr>
        <w:t xml:space="preserve">Likelihood of confusion covers situations where the consumer directly confuses the </w:t>
      </w:r>
      <w:proofErr w:type="spellStart"/>
      <w:proofErr w:type="gramStart"/>
      <w:r w:rsidRPr="00E36213">
        <w:rPr>
          <w:szCs w:val="22"/>
        </w:rPr>
        <w:t>trade marks</w:t>
      </w:r>
      <w:proofErr w:type="spellEnd"/>
      <w:proofErr w:type="gramEnd"/>
      <w:r w:rsidRPr="00E36213">
        <w:rPr>
          <w:szCs w:val="22"/>
        </w:rPr>
        <w:t xml:space="preserve"> themselves, or where the consumer makes a connection between the conflicting signs and assumes that the goods/services covered are from the same or economically linked undertakings (29/09/1998, C</w:t>
      </w:r>
      <w:r w:rsidRPr="00E36213">
        <w:rPr>
          <w:rFonts w:ascii="Cambria Math" w:hAnsi="Cambria Math" w:cs="Cambria Math"/>
          <w:szCs w:val="22"/>
        </w:rPr>
        <w:t>‑</w:t>
      </w:r>
      <w:r w:rsidRPr="00E36213">
        <w:rPr>
          <w:szCs w:val="22"/>
        </w:rPr>
        <w:t>39/97, Canon, EU:C:1998:442, § 29).</w:t>
      </w:r>
    </w:p>
    <w:p w14:paraId="4D8E6C97" w14:textId="77777777" w:rsidR="0035789F" w:rsidRPr="00E36213" w:rsidRDefault="0035789F" w:rsidP="0013623E">
      <w:pPr>
        <w:jc w:val="both"/>
        <w:rPr>
          <w:szCs w:val="22"/>
        </w:rPr>
      </w:pPr>
    </w:p>
    <w:p w14:paraId="6BE8BC89" w14:textId="493F71B9" w:rsidR="0035789F" w:rsidRPr="00E36213" w:rsidRDefault="0035789F" w:rsidP="0013623E">
      <w:pPr>
        <w:jc w:val="both"/>
        <w:rPr>
          <w:szCs w:val="22"/>
        </w:rPr>
      </w:pPr>
      <w:r w:rsidRPr="00E36213">
        <w:rPr>
          <w:szCs w:val="22"/>
        </w:rPr>
        <w:t>Account should also be taken of the fact that average consumers rarely have the chance to make a direct comparison between different marks but must trust in their imperfect recollection of them (22/06/1999, C</w:t>
      </w:r>
      <w:r w:rsidRPr="00E36213">
        <w:rPr>
          <w:rFonts w:ascii="Cambria Math" w:hAnsi="Cambria Math" w:cs="Cambria Math"/>
          <w:szCs w:val="22"/>
        </w:rPr>
        <w:t>‑</w:t>
      </w:r>
      <w:r w:rsidRPr="00E36213">
        <w:rPr>
          <w:szCs w:val="22"/>
        </w:rPr>
        <w:t>342/97, Lloyd Schuhfabrik, EU:C:1999:323, § 26).</w:t>
      </w:r>
    </w:p>
    <w:p w14:paraId="3E395440" w14:textId="275098BB" w:rsidR="00A23989" w:rsidRPr="00E36213" w:rsidRDefault="002B5333" w:rsidP="0013623E">
      <w:pPr>
        <w:jc w:val="both"/>
        <w:rPr>
          <w:szCs w:val="22"/>
        </w:rPr>
      </w:pPr>
      <w:r w:rsidRPr="00E36213">
        <w:rPr>
          <w:szCs w:val="22"/>
        </w:rPr>
        <w:t> </w:t>
      </w:r>
    </w:p>
    <w:p w14:paraId="2E44F75F" w14:textId="0D2AB921" w:rsidR="0035789F" w:rsidRPr="00E36213" w:rsidRDefault="0035789F" w:rsidP="0013623E">
      <w:pPr>
        <w:jc w:val="both"/>
        <w:rPr>
          <w:szCs w:val="22"/>
        </w:rPr>
      </w:pPr>
      <w:bookmarkStart w:id="22" w:name="chk-paragraph-9-3-5-2_nodeId--1908640140"/>
      <w:bookmarkEnd w:id="21"/>
      <w:r w:rsidRPr="00E36213">
        <w:rPr>
          <w:szCs w:val="22"/>
        </w:rPr>
        <w:t>In the present case, the goods concerned are identical and the degree of attention of the relevant public is average.</w:t>
      </w:r>
    </w:p>
    <w:p w14:paraId="787909A4" w14:textId="77777777" w:rsidR="0035789F" w:rsidRPr="00E36213" w:rsidRDefault="0035789F" w:rsidP="0013623E">
      <w:pPr>
        <w:jc w:val="both"/>
        <w:rPr>
          <w:szCs w:val="22"/>
        </w:rPr>
      </w:pPr>
      <w:bookmarkStart w:id="23" w:name="_Hlk208838300"/>
    </w:p>
    <w:p w14:paraId="29DDF217" w14:textId="4E389426" w:rsidR="0035789F" w:rsidRPr="00E36213" w:rsidRDefault="0035789F" w:rsidP="0013623E">
      <w:pPr>
        <w:jc w:val="both"/>
        <w:rPr>
          <w:szCs w:val="22"/>
        </w:rPr>
      </w:pPr>
      <w:r w:rsidRPr="00E36213">
        <w:rPr>
          <w:szCs w:val="22"/>
        </w:rPr>
        <w:t>If there is identity between the goods, such a finding would imply, that, if there is to be no likelihood of confusion, the degree of difference between the marks at issue must be high (13/11/2012, T</w:t>
      </w:r>
      <w:r w:rsidRPr="00E36213">
        <w:rPr>
          <w:szCs w:val="22"/>
        </w:rPr>
        <w:noBreakHyphen/>
        <w:t xml:space="preserve">555/11, </w:t>
      </w:r>
      <w:proofErr w:type="spellStart"/>
      <w:r w:rsidRPr="00E36213">
        <w:rPr>
          <w:szCs w:val="22"/>
        </w:rPr>
        <w:t>tesa</w:t>
      </w:r>
      <w:proofErr w:type="spellEnd"/>
      <w:r w:rsidRPr="00E36213">
        <w:rPr>
          <w:szCs w:val="22"/>
        </w:rPr>
        <w:t xml:space="preserve"> TACK (fig.) / TACK et al., EU:T:2012:594, § 53 and the case-law cited therein). </w:t>
      </w:r>
    </w:p>
    <w:bookmarkEnd w:id="23"/>
    <w:p w14:paraId="315C6FED" w14:textId="64CFBC82" w:rsidR="0035789F" w:rsidRPr="00E36213" w:rsidRDefault="0035789F" w:rsidP="0013623E">
      <w:pPr>
        <w:jc w:val="both"/>
        <w:rPr>
          <w:szCs w:val="22"/>
        </w:rPr>
      </w:pPr>
    </w:p>
    <w:p w14:paraId="5812F186" w14:textId="288FC287" w:rsidR="00490C3A" w:rsidRPr="00E36213" w:rsidRDefault="0035789F" w:rsidP="0013623E">
      <w:pPr>
        <w:jc w:val="both"/>
        <w:rPr>
          <w:szCs w:val="22"/>
        </w:rPr>
      </w:pPr>
      <w:r w:rsidRPr="00E36213">
        <w:rPr>
          <w:szCs w:val="22"/>
        </w:rPr>
        <w:t xml:space="preserve">In this respect, the inherent distinctiveness of the earlier mark is </w:t>
      </w:r>
      <w:proofErr w:type="gramStart"/>
      <w:r w:rsidRPr="00E36213">
        <w:rPr>
          <w:szCs w:val="22"/>
        </w:rPr>
        <w:t>normal</w:t>
      </w:r>
      <w:proofErr w:type="gramEnd"/>
      <w:r w:rsidRPr="00E36213">
        <w:rPr>
          <w:szCs w:val="22"/>
        </w:rPr>
        <w:t xml:space="preserve"> and the signs have been found to be visually similar at least to a below average degree and aurally </w:t>
      </w:r>
      <w:proofErr w:type="gramStart"/>
      <w:r w:rsidRPr="00E36213">
        <w:rPr>
          <w:szCs w:val="22"/>
        </w:rPr>
        <w:t>similar to</w:t>
      </w:r>
      <w:proofErr w:type="gramEnd"/>
      <w:r w:rsidRPr="00E36213">
        <w:rPr>
          <w:szCs w:val="22"/>
        </w:rPr>
        <w:t xml:space="preserve"> an above average degree. Furthermore, for the part of the public under analysis, there is</w:t>
      </w:r>
      <w:r w:rsidR="00490C3A" w:rsidRPr="00E36213">
        <w:rPr>
          <w:szCs w:val="22"/>
        </w:rPr>
        <w:t xml:space="preserve"> no conceptual difference between the signs that could otherwise</w:t>
      </w:r>
      <w:r w:rsidR="002B5333" w:rsidRPr="00E36213">
        <w:rPr>
          <w:szCs w:val="22"/>
        </w:rPr>
        <w:t xml:space="preserve"> potentially</w:t>
      </w:r>
      <w:r w:rsidR="00490C3A" w:rsidRPr="00E36213">
        <w:rPr>
          <w:szCs w:val="22"/>
        </w:rPr>
        <w:t xml:space="preserve"> help the consumers to more easily distinguish between them. </w:t>
      </w:r>
    </w:p>
    <w:p w14:paraId="3E39544A" w14:textId="4C73A747" w:rsidR="00A23989" w:rsidRPr="00E36213" w:rsidRDefault="002B5333" w:rsidP="0013623E">
      <w:pPr>
        <w:jc w:val="both"/>
        <w:rPr>
          <w:szCs w:val="22"/>
        </w:rPr>
      </w:pPr>
      <w:r w:rsidRPr="00E36213">
        <w:rPr>
          <w:szCs w:val="22"/>
        </w:rPr>
        <w:t> </w:t>
      </w:r>
    </w:p>
    <w:p w14:paraId="63E527B4" w14:textId="349B2B94" w:rsidR="00490C3A" w:rsidRPr="00E36213" w:rsidRDefault="00490C3A" w:rsidP="0013623E">
      <w:pPr>
        <w:jc w:val="both"/>
        <w:rPr>
          <w:szCs w:val="22"/>
        </w:rPr>
      </w:pPr>
      <w:r w:rsidRPr="00E36213">
        <w:rPr>
          <w:szCs w:val="22"/>
        </w:rPr>
        <w:t>Therefore, in view of the overall similarities between the signs and bearing in mind the principles of interdependence and imperfect recollection as set out above, the part of the public under analysis is likely to believe that the identical goods concerned, offered under the signs in dispute, originated from the same undertaking, or from economically linked undertakings as the case may be.</w:t>
      </w:r>
    </w:p>
    <w:p w14:paraId="137F5E86" w14:textId="77777777" w:rsidR="0035789F" w:rsidRPr="00E36213" w:rsidRDefault="0035789F" w:rsidP="0013623E">
      <w:pPr>
        <w:jc w:val="both"/>
        <w:rPr>
          <w:szCs w:val="22"/>
        </w:rPr>
      </w:pPr>
    </w:p>
    <w:p w14:paraId="3E395463" w14:textId="72D546C9" w:rsidR="00A23989" w:rsidRPr="00E36213" w:rsidRDefault="002B5333" w:rsidP="0013623E">
      <w:pPr>
        <w:jc w:val="both"/>
        <w:rPr>
          <w:szCs w:val="22"/>
        </w:rPr>
      </w:pPr>
      <w:bookmarkStart w:id="24" w:name="chk-paragraph-9-3-6_nodeId-1653772757"/>
      <w:bookmarkEnd w:id="22"/>
      <w:r w:rsidRPr="007D27B1">
        <w:rPr>
          <w:szCs w:val="22"/>
          <w:highlight w:val="yellow"/>
        </w:rPr>
        <w:t>Considering all the above, there is a likelihood of confusion on the</w:t>
      </w:r>
      <w:r w:rsidR="00490C3A" w:rsidRPr="007D27B1">
        <w:rPr>
          <w:szCs w:val="22"/>
          <w:highlight w:val="yellow"/>
        </w:rPr>
        <w:t>, at least, non-negligible</w:t>
      </w:r>
      <w:r w:rsidRPr="007D27B1">
        <w:rPr>
          <w:szCs w:val="22"/>
          <w:highlight w:val="yellow"/>
        </w:rPr>
        <w:t xml:space="preserve"> part of the</w:t>
      </w:r>
      <w:r w:rsidR="00490C3A" w:rsidRPr="007D27B1">
        <w:rPr>
          <w:szCs w:val="22"/>
          <w:highlight w:val="yellow"/>
        </w:rPr>
        <w:t xml:space="preserve"> public in the relevant territory that will perceive both ꞌCHANELꞌ and ꞌJNANELꞌ as lacking any meaning. As stated above in section c) of this decision, a likelihood of confusion for only a non-negligible part of the public of the relevant territory is sufficient to reject the contested application. As a result, </w:t>
      </w:r>
      <w:r w:rsidRPr="007D27B1">
        <w:rPr>
          <w:szCs w:val="22"/>
          <w:highlight w:val="yellow"/>
        </w:rPr>
        <w:t xml:space="preserve">there is no need to </w:t>
      </w:r>
      <w:proofErr w:type="spellStart"/>
      <w:r w:rsidRPr="007D27B1">
        <w:rPr>
          <w:szCs w:val="22"/>
          <w:highlight w:val="yellow"/>
        </w:rPr>
        <w:t>analyse</w:t>
      </w:r>
      <w:proofErr w:type="spellEnd"/>
      <w:r w:rsidRPr="007D27B1">
        <w:rPr>
          <w:szCs w:val="22"/>
          <w:highlight w:val="yellow"/>
        </w:rPr>
        <w:t xml:space="preserve"> the remaining part of the public.</w:t>
      </w:r>
    </w:p>
    <w:p w14:paraId="28AC4682" w14:textId="77777777" w:rsidR="00E1749E" w:rsidRPr="00E36213" w:rsidRDefault="00E1749E" w:rsidP="0013623E">
      <w:pPr>
        <w:jc w:val="both"/>
        <w:rPr>
          <w:szCs w:val="22"/>
        </w:rPr>
      </w:pPr>
    </w:p>
    <w:p w14:paraId="3E395465" w14:textId="21A79D81" w:rsidR="00A23989" w:rsidRPr="00E36213" w:rsidRDefault="002B5333" w:rsidP="0013623E">
      <w:pPr>
        <w:jc w:val="both"/>
        <w:rPr>
          <w:szCs w:val="22"/>
        </w:rPr>
      </w:pPr>
      <w:r w:rsidRPr="00E36213">
        <w:rPr>
          <w:szCs w:val="22"/>
        </w:rPr>
        <w:t xml:space="preserve">Therefore, the opposition is well founded </w:t>
      </w:r>
      <w:proofErr w:type="gramStart"/>
      <w:r w:rsidRPr="00E36213">
        <w:rPr>
          <w:szCs w:val="22"/>
        </w:rPr>
        <w:t>on the basis of</w:t>
      </w:r>
      <w:proofErr w:type="gramEnd"/>
      <w:r w:rsidRPr="00E36213">
        <w:rPr>
          <w:szCs w:val="22"/>
        </w:rPr>
        <w:t xml:space="preserve"> the opponent’s</w:t>
      </w:r>
      <w:r w:rsidR="00E36213" w:rsidRPr="00E36213">
        <w:rPr>
          <w:szCs w:val="22"/>
        </w:rPr>
        <w:t xml:space="preserve"> </w:t>
      </w:r>
      <w:r w:rsidR="00490C3A" w:rsidRPr="00E36213">
        <w:rPr>
          <w:szCs w:val="22"/>
        </w:rPr>
        <w:t xml:space="preserve">French </w:t>
      </w:r>
      <w:proofErr w:type="gramStart"/>
      <w:r w:rsidR="00490C3A" w:rsidRPr="00E36213">
        <w:rPr>
          <w:szCs w:val="22"/>
        </w:rPr>
        <w:t>trade mark</w:t>
      </w:r>
      <w:proofErr w:type="gramEnd"/>
      <w:r w:rsidR="00490C3A" w:rsidRPr="00E36213">
        <w:rPr>
          <w:szCs w:val="22"/>
        </w:rPr>
        <w:t xml:space="preserve"> registration No 3 977 083</w:t>
      </w:r>
      <w:r w:rsidRPr="00E36213">
        <w:rPr>
          <w:szCs w:val="22"/>
        </w:rPr>
        <w:t xml:space="preserve">. It follows that the contested </w:t>
      </w:r>
      <w:proofErr w:type="gramStart"/>
      <w:r w:rsidRPr="00E36213">
        <w:rPr>
          <w:szCs w:val="22"/>
        </w:rPr>
        <w:t>trade mark</w:t>
      </w:r>
      <w:proofErr w:type="gramEnd"/>
      <w:r w:rsidRPr="00E36213">
        <w:rPr>
          <w:szCs w:val="22"/>
        </w:rPr>
        <w:t xml:space="preserve"> must be </w:t>
      </w:r>
      <w:r w:rsidR="00381F52" w:rsidRPr="00E36213">
        <w:rPr>
          <w:szCs w:val="22"/>
        </w:rPr>
        <w:t>refused</w:t>
      </w:r>
      <w:r w:rsidRPr="00E36213">
        <w:rPr>
          <w:szCs w:val="22"/>
        </w:rPr>
        <w:t xml:space="preserve"> for all the contested</w:t>
      </w:r>
      <w:r w:rsidR="00381F52" w:rsidRPr="00E36213">
        <w:rPr>
          <w:szCs w:val="22"/>
        </w:rPr>
        <w:t xml:space="preserve"> goods and thus be rejected in its entirety.</w:t>
      </w:r>
    </w:p>
    <w:p w14:paraId="3E39546D" w14:textId="08FC5F6A" w:rsidR="00A23989" w:rsidRPr="00E36213" w:rsidRDefault="002B5333" w:rsidP="0013623E">
      <w:pPr>
        <w:jc w:val="both"/>
        <w:rPr>
          <w:szCs w:val="22"/>
        </w:rPr>
      </w:pPr>
      <w:r w:rsidRPr="00E36213">
        <w:rPr>
          <w:szCs w:val="22"/>
        </w:rPr>
        <w:t> </w:t>
      </w:r>
    </w:p>
    <w:p w14:paraId="3E39546F" w14:textId="153E43DC" w:rsidR="00A23989" w:rsidRPr="00E36213" w:rsidRDefault="002B5333" w:rsidP="0013623E">
      <w:pPr>
        <w:jc w:val="both"/>
        <w:rPr>
          <w:szCs w:val="22"/>
        </w:rPr>
      </w:pPr>
      <w:bookmarkStart w:id="25" w:name="chk-paragraph-9-3-6-1_nodeId-307682840"/>
      <w:bookmarkEnd w:id="24"/>
      <w:r w:rsidRPr="007D27B1">
        <w:rPr>
          <w:szCs w:val="22"/>
          <w:highlight w:val="yellow"/>
        </w:rPr>
        <w:lastRenderedPageBreak/>
        <w:t xml:space="preserve">Since the opposition is successful </w:t>
      </w:r>
      <w:proofErr w:type="gramStart"/>
      <w:r w:rsidRPr="007D27B1">
        <w:rPr>
          <w:szCs w:val="22"/>
          <w:highlight w:val="yellow"/>
        </w:rPr>
        <w:t>on the basis of</w:t>
      </w:r>
      <w:proofErr w:type="gramEnd"/>
      <w:r w:rsidRPr="007D27B1">
        <w:rPr>
          <w:szCs w:val="22"/>
          <w:highlight w:val="yellow"/>
        </w:rPr>
        <w:t xml:space="preserve"> the inherent distinctiveness of the earlier mark, there is no need to assess the enhanced degree of distinctiveness of the opponent's mark</w:t>
      </w:r>
      <w:r w:rsidR="00381F52" w:rsidRPr="007D27B1">
        <w:rPr>
          <w:szCs w:val="22"/>
          <w:highlight w:val="yellow"/>
        </w:rPr>
        <w:t xml:space="preserve"> </w:t>
      </w:r>
      <w:r w:rsidRPr="007D27B1">
        <w:rPr>
          <w:szCs w:val="22"/>
          <w:highlight w:val="yellow"/>
        </w:rPr>
        <w:t>due to</w:t>
      </w:r>
      <w:r w:rsidR="00381F52" w:rsidRPr="007D27B1">
        <w:rPr>
          <w:szCs w:val="22"/>
          <w:highlight w:val="yellow"/>
        </w:rPr>
        <w:t xml:space="preserve"> </w:t>
      </w:r>
      <w:r w:rsidRPr="007D27B1">
        <w:rPr>
          <w:szCs w:val="22"/>
          <w:highlight w:val="yellow"/>
        </w:rPr>
        <w:t>its</w:t>
      </w:r>
      <w:r w:rsidR="00381F52" w:rsidRPr="007D27B1">
        <w:rPr>
          <w:szCs w:val="22"/>
          <w:highlight w:val="yellow"/>
        </w:rPr>
        <w:t xml:space="preserve"> intensive</w:t>
      </w:r>
      <w:r w:rsidRPr="007D27B1">
        <w:rPr>
          <w:szCs w:val="22"/>
          <w:highlight w:val="yellow"/>
        </w:rPr>
        <w:t xml:space="preserve"> use</w:t>
      </w:r>
      <w:r w:rsidR="00381F52" w:rsidRPr="007D27B1">
        <w:rPr>
          <w:szCs w:val="22"/>
          <w:highlight w:val="yellow"/>
        </w:rPr>
        <w:t xml:space="preserve"> and </w:t>
      </w:r>
      <w:r w:rsidRPr="007D27B1">
        <w:rPr>
          <w:szCs w:val="22"/>
          <w:highlight w:val="yellow"/>
        </w:rPr>
        <w:t>reputation</w:t>
      </w:r>
      <w:r w:rsidR="00381F52" w:rsidRPr="007D27B1">
        <w:rPr>
          <w:szCs w:val="22"/>
          <w:highlight w:val="yellow"/>
        </w:rPr>
        <w:t xml:space="preserve"> </w:t>
      </w:r>
      <w:r w:rsidRPr="007D27B1">
        <w:rPr>
          <w:szCs w:val="22"/>
          <w:highlight w:val="yellow"/>
        </w:rPr>
        <w:t>as claimed by the opponent. The result would be the same even if the earlier mark</w:t>
      </w:r>
      <w:r w:rsidR="00381F52" w:rsidRPr="007D27B1">
        <w:rPr>
          <w:szCs w:val="22"/>
          <w:highlight w:val="yellow"/>
        </w:rPr>
        <w:t xml:space="preserve"> </w:t>
      </w:r>
      <w:r w:rsidRPr="007D27B1">
        <w:rPr>
          <w:szCs w:val="22"/>
          <w:highlight w:val="yellow"/>
        </w:rPr>
        <w:t>enjoyed an enhanced degree of distinctiveness.</w:t>
      </w:r>
    </w:p>
    <w:p w14:paraId="5FD88667" w14:textId="77777777" w:rsidR="00F952A5" w:rsidRPr="00E36213" w:rsidRDefault="00F952A5" w:rsidP="0013623E">
      <w:pPr>
        <w:rPr>
          <w:szCs w:val="22"/>
        </w:rPr>
      </w:pPr>
      <w:bookmarkStart w:id="26" w:name="chk-paragraph-14_nodeId-1960858865"/>
      <w:bookmarkEnd w:id="25"/>
    </w:p>
    <w:p w14:paraId="3A1AEEEA" w14:textId="2A6E7D0F" w:rsidR="00F952A5" w:rsidRPr="00E36213" w:rsidRDefault="00F952A5" w:rsidP="0013623E">
      <w:pPr>
        <w:jc w:val="both"/>
        <w:rPr>
          <w:szCs w:val="22"/>
        </w:rPr>
      </w:pPr>
      <w:r w:rsidRPr="00E36213">
        <w:rPr>
          <w:szCs w:val="22"/>
        </w:rPr>
        <w:t xml:space="preserve">Likewise, since the opposition is fully successful </w:t>
      </w:r>
      <w:proofErr w:type="gramStart"/>
      <w:r w:rsidRPr="00E36213">
        <w:rPr>
          <w:szCs w:val="22"/>
        </w:rPr>
        <w:t>on the basis of</w:t>
      </w:r>
      <w:proofErr w:type="gramEnd"/>
      <w:r w:rsidRPr="00E36213">
        <w:rPr>
          <w:szCs w:val="22"/>
        </w:rPr>
        <w:t xml:space="preserve"> the ground of Article 8(1)(b) EUTMR, there is no need to further examine the other ground of the opposition, namely Article 8(5) EUTMR.</w:t>
      </w:r>
    </w:p>
    <w:p w14:paraId="3E395470" w14:textId="09F293C0" w:rsidR="00A23989" w:rsidRPr="00E36213" w:rsidRDefault="002B5333" w:rsidP="0013623E">
      <w:pPr>
        <w:jc w:val="both"/>
        <w:rPr>
          <w:szCs w:val="22"/>
        </w:rPr>
      </w:pPr>
      <w:r w:rsidRPr="00E36213">
        <w:rPr>
          <w:szCs w:val="22"/>
        </w:rPr>
        <w:t xml:space="preserve">  </w:t>
      </w:r>
    </w:p>
    <w:p w14:paraId="44C2111C" w14:textId="77777777" w:rsidR="00F952A5" w:rsidRPr="00E36213" w:rsidRDefault="00F952A5" w:rsidP="0013623E">
      <w:pPr>
        <w:rPr>
          <w:szCs w:val="22"/>
        </w:rPr>
      </w:pPr>
    </w:p>
    <w:p w14:paraId="3E395471" w14:textId="77777777" w:rsidR="00A23989" w:rsidRPr="00E36213" w:rsidRDefault="002B5333" w:rsidP="0013623E">
      <w:pPr>
        <w:jc w:val="both"/>
        <w:rPr>
          <w:szCs w:val="22"/>
        </w:rPr>
      </w:pPr>
      <w:bookmarkStart w:id="27" w:name="chk-paragraph-14-1_nodeId--474726698"/>
      <w:bookmarkEnd w:id="26"/>
      <w:r w:rsidRPr="00E36213">
        <w:rPr>
          <w:b/>
          <w:szCs w:val="22"/>
        </w:rPr>
        <w:t>COSTS</w:t>
      </w:r>
    </w:p>
    <w:p w14:paraId="3E395472" w14:textId="52255022" w:rsidR="00A23989" w:rsidRPr="00E36213" w:rsidRDefault="002B5333" w:rsidP="0013623E">
      <w:pPr>
        <w:jc w:val="both"/>
        <w:rPr>
          <w:szCs w:val="22"/>
        </w:rPr>
      </w:pPr>
      <w:r w:rsidRPr="00E36213">
        <w:rPr>
          <w:szCs w:val="22"/>
        </w:rPr>
        <w:t> </w:t>
      </w:r>
    </w:p>
    <w:p w14:paraId="3E395473" w14:textId="576D91A0" w:rsidR="00A23989" w:rsidRPr="00E36213" w:rsidRDefault="002B5333" w:rsidP="0013623E">
      <w:pPr>
        <w:jc w:val="both"/>
        <w:rPr>
          <w:szCs w:val="22"/>
        </w:rPr>
      </w:pPr>
      <w:r w:rsidRPr="00E36213">
        <w:rPr>
          <w:szCs w:val="22"/>
        </w:rPr>
        <w:t>According to Article 109(1) EUTMR, the losing party in opposition proceedings must bear the fees and costs incurred by the other party.</w:t>
      </w:r>
    </w:p>
    <w:p w14:paraId="3E395474" w14:textId="27E9CA8A" w:rsidR="00A23989" w:rsidRPr="00E36213" w:rsidRDefault="002B5333" w:rsidP="0013623E">
      <w:pPr>
        <w:jc w:val="both"/>
        <w:rPr>
          <w:szCs w:val="22"/>
        </w:rPr>
      </w:pPr>
      <w:r w:rsidRPr="00E36213">
        <w:rPr>
          <w:szCs w:val="22"/>
        </w:rPr>
        <w:t> </w:t>
      </w:r>
    </w:p>
    <w:p w14:paraId="3E395475" w14:textId="77777777" w:rsidR="00A23989" w:rsidRPr="00E36213" w:rsidRDefault="002B5333" w:rsidP="0013623E">
      <w:pPr>
        <w:jc w:val="both"/>
        <w:rPr>
          <w:szCs w:val="22"/>
        </w:rPr>
      </w:pPr>
      <w:r w:rsidRPr="00E36213">
        <w:rPr>
          <w:szCs w:val="22"/>
        </w:rPr>
        <w:t xml:space="preserve">Since the applicant is the losing party, it must bear the opposition fee as well as the costs incurred by the opponent </w:t>
      </w:r>
      <w:proofErr w:type="gramStart"/>
      <w:r w:rsidRPr="00E36213">
        <w:rPr>
          <w:szCs w:val="22"/>
        </w:rPr>
        <w:t>in the course of</w:t>
      </w:r>
      <w:proofErr w:type="gramEnd"/>
      <w:r w:rsidRPr="00E36213">
        <w:rPr>
          <w:szCs w:val="22"/>
        </w:rPr>
        <w:t xml:space="preserve"> these proceedings.</w:t>
      </w:r>
    </w:p>
    <w:p w14:paraId="3E395476" w14:textId="16E80976" w:rsidR="00A23989" w:rsidRPr="00E36213" w:rsidRDefault="002B5333" w:rsidP="0013623E">
      <w:pPr>
        <w:jc w:val="both"/>
        <w:rPr>
          <w:szCs w:val="22"/>
        </w:rPr>
      </w:pPr>
      <w:r w:rsidRPr="00E36213">
        <w:rPr>
          <w:szCs w:val="22"/>
        </w:rPr>
        <w:t> </w:t>
      </w:r>
    </w:p>
    <w:p w14:paraId="3E395477" w14:textId="07CA771C" w:rsidR="00A23989" w:rsidRPr="00E36213" w:rsidRDefault="002B5333" w:rsidP="0013623E">
      <w:pPr>
        <w:jc w:val="both"/>
        <w:rPr>
          <w:szCs w:val="22"/>
        </w:rPr>
      </w:pPr>
      <w:bookmarkStart w:id="28" w:name="chk-paragraph-14-1-2_nodeId-1324252376"/>
      <w:bookmarkEnd w:id="27"/>
      <w:r w:rsidRPr="00E36213">
        <w:rPr>
          <w:szCs w:val="22"/>
        </w:rPr>
        <w:t>According to Article 109(1) and (7) EUTMR and Article 18(1)(c)(</w:t>
      </w:r>
      <w:proofErr w:type="spellStart"/>
      <w:r w:rsidRPr="00E36213">
        <w:rPr>
          <w:szCs w:val="22"/>
        </w:rPr>
        <w:t>i</w:t>
      </w:r>
      <w:proofErr w:type="spellEnd"/>
      <w:r w:rsidRPr="00E36213">
        <w:rPr>
          <w:szCs w:val="22"/>
        </w:rPr>
        <w:t xml:space="preserve">) EUTMIR, the costs to be paid to the opponent are the opposition fee and the costs of representation, which are to be fixed </w:t>
      </w:r>
      <w:proofErr w:type="gramStart"/>
      <w:r w:rsidRPr="00E36213">
        <w:rPr>
          <w:szCs w:val="22"/>
        </w:rPr>
        <w:t>on the basis of</w:t>
      </w:r>
      <w:proofErr w:type="gramEnd"/>
      <w:r w:rsidRPr="00E36213">
        <w:rPr>
          <w:szCs w:val="22"/>
        </w:rPr>
        <w:t xml:space="preserve"> the maximum rate set therein. In the present case, the opponent did not appoint a professional representative within the meaning of Article 120 EUTMR and therefore did not incur representation costs.</w:t>
      </w:r>
    </w:p>
    <w:p w14:paraId="3E395478" w14:textId="547AE212" w:rsidR="00A23989" w:rsidRPr="00E36213" w:rsidRDefault="002B5333" w:rsidP="0013623E">
      <w:pPr>
        <w:jc w:val="both"/>
        <w:rPr>
          <w:szCs w:val="22"/>
        </w:rPr>
      </w:pPr>
      <w:r w:rsidRPr="00E36213">
        <w:rPr>
          <w:szCs w:val="22"/>
        </w:rPr>
        <w:t> </w:t>
      </w:r>
    </w:p>
    <w:p w14:paraId="3E395479" w14:textId="77777777" w:rsidR="00A23989" w:rsidRPr="00E36213" w:rsidRDefault="002B5333" w:rsidP="0013623E">
      <w:pPr>
        <w:jc w:val="center"/>
        <w:rPr>
          <w:szCs w:val="22"/>
        </w:rPr>
      </w:pPr>
      <w:bookmarkStart w:id="29" w:name="rId8"/>
      <w:bookmarkStart w:id="30" w:name="chk-paragraph-15_nodeId-1949981362"/>
      <w:bookmarkEnd w:id="28"/>
      <w:r w:rsidRPr="00E36213">
        <w:rPr>
          <w:noProof/>
          <w:szCs w:val="22"/>
        </w:rPr>
        <w:drawing>
          <wp:inline distT="0" distB="0" distL="0" distR="0" wp14:anchorId="3E39548F" wp14:editId="3E395490">
            <wp:extent cx="619125" cy="628650"/>
            <wp:effectExtent l="0" t="0" r="0" b="0"/>
            <wp:docPr id="190661758" name="Picture 19066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125" cy="628650"/>
                    </a:xfrm>
                    <a:prstGeom prst="rect">
                      <a:avLst/>
                    </a:prstGeom>
                  </pic:spPr>
                </pic:pic>
              </a:graphicData>
            </a:graphic>
          </wp:inline>
        </w:drawing>
      </w:r>
      <w:bookmarkEnd w:id="29"/>
    </w:p>
    <w:p w14:paraId="3E39547A" w14:textId="6896F7A7" w:rsidR="00A23989" w:rsidRPr="00E36213" w:rsidRDefault="002B5333" w:rsidP="0013623E">
      <w:pPr>
        <w:jc w:val="both"/>
        <w:rPr>
          <w:szCs w:val="22"/>
        </w:rPr>
      </w:pPr>
      <w:r w:rsidRPr="00E36213">
        <w:rPr>
          <w:szCs w:val="22"/>
        </w:rPr>
        <w:t> </w:t>
      </w:r>
    </w:p>
    <w:p w14:paraId="3E39547B" w14:textId="745E8C60" w:rsidR="00A23989" w:rsidRPr="00E36213" w:rsidRDefault="002B5333" w:rsidP="0013623E">
      <w:pPr>
        <w:jc w:val="both"/>
        <w:rPr>
          <w:szCs w:val="22"/>
        </w:rPr>
      </w:pPr>
      <w:r w:rsidRPr="00E36213">
        <w:rPr>
          <w:szCs w:val="22"/>
        </w:rPr>
        <w:t> </w:t>
      </w:r>
    </w:p>
    <w:p w14:paraId="3E39547C" w14:textId="77777777" w:rsidR="00A23989" w:rsidRPr="00E36213" w:rsidRDefault="002B5333" w:rsidP="0013623E">
      <w:pPr>
        <w:jc w:val="center"/>
        <w:rPr>
          <w:szCs w:val="22"/>
        </w:rPr>
      </w:pPr>
      <w:r w:rsidRPr="00E36213">
        <w:rPr>
          <w:b/>
          <w:szCs w:val="22"/>
        </w:rPr>
        <w:t>The Opposition Division</w:t>
      </w:r>
    </w:p>
    <w:p w14:paraId="3E39547D" w14:textId="24DC847A" w:rsidR="00A23989" w:rsidRPr="00E36213" w:rsidRDefault="002B5333" w:rsidP="0013623E">
      <w:pPr>
        <w:jc w:val="both"/>
        <w:rPr>
          <w:szCs w:val="22"/>
        </w:rPr>
      </w:pPr>
      <w:r w:rsidRPr="00E36213">
        <w:rPr>
          <w:szCs w:val="22"/>
        </w:rPr>
        <w:t> </w:t>
      </w:r>
    </w:p>
    <w:p w14:paraId="3E39547E" w14:textId="4B76BD90" w:rsidR="00A23989" w:rsidRPr="00E36213" w:rsidRDefault="002B5333" w:rsidP="0013623E">
      <w:pPr>
        <w:jc w:val="both"/>
        <w:rPr>
          <w:szCs w:val="22"/>
        </w:rPr>
      </w:pPr>
      <w:r w:rsidRPr="00E36213">
        <w:rPr>
          <w:szCs w:val="22"/>
        </w:rPr>
        <w:t> </w:t>
      </w:r>
    </w:p>
    <w:tbl>
      <w:tblPr>
        <w:tblW w:w="0" w:type="auto"/>
        <w:tblCellSpacing w:w="0" w:type="auto"/>
        <w:tblLook w:val="04A0" w:firstRow="1" w:lastRow="0" w:firstColumn="1" w:lastColumn="0" w:noHBand="0" w:noVBand="1"/>
      </w:tblPr>
      <w:tblGrid>
        <w:gridCol w:w="2916"/>
        <w:gridCol w:w="2980"/>
        <w:gridCol w:w="3131"/>
      </w:tblGrid>
      <w:tr w:rsidR="00A23989" w:rsidRPr="00E36213" w14:paraId="3E395484" w14:textId="77777777">
        <w:trPr>
          <w:trHeight w:val="30"/>
          <w:tblCellSpacing w:w="0" w:type="auto"/>
        </w:trPr>
        <w:tc>
          <w:tcPr>
            <w:tcW w:w="3779" w:type="dxa"/>
            <w:tcMar>
              <w:top w:w="15" w:type="dxa"/>
              <w:left w:w="15" w:type="dxa"/>
              <w:bottom w:w="15" w:type="dxa"/>
              <w:right w:w="15" w:type="dxa"/>
            </w:tcMar>
            <w:vAlign w:val="center"/>
          </w:tcPr>
          <w:p w14:paraId="3E395480" w14:textId="03DE68BF" w:rsidR="00A23989" w:rsidRPr="00B31673" w:rsidRDefault="00381F52" w:rsidP="0013623E">
            <w:pPr>
              <w:ind w:left="15"/>
              <w:jc w:val="center"/>
              <w:rPr>
                <w:szCs w:val="22"/>
                <w14:shadow w14:blurRad="50800" w14:dist="38100" w14:dir="2700000" w14:sx="100000" w14:sy="100000" w14:kx="0" w14:ky="0" w14:algn="tl">
                  <w14:srgbClr w14:val="000000">
                    <w14:alpha w14:val="60000"/>
                  </w14:srgbClr>
                </w14:shadow>
              </w:rPr>
            </w:pPr>
            <w:bookmarkStart w:id="31" w:name="docx4j_tbl_0"/>
            <w:r w:rsidRPr="00E36213">
              <w:rPr>
                <w:szCs w:val="22"/>
              </w:rPr>
              <w:t>Martina GALLE</w:t>
            </w:r>
          </w:p>
        </w:tc>
        <w:tc>
          <w:tcPr>
            <w:tcW w:w="3780" w:type="dxa"/>
            <w:tcMar>
              <w:top w:w="15" w:type="dxa"/>
              <w:left w:w="15" w:type="dxa"/>
              <w:bottom w:w="15" w:type="dxa"/>
              <w:right w:w="15" w:type="dxa"/>
            </w:tcMar>
            <w:vAlign w:val="center"/>
          </w:tcPr>
          <w:p w14:paraId="3E395481" w14:textId="77777777" w:rsidR="00A23989" w:rsidRPr="00B31673" w:rsidRDefault="002B5333" w:rsidP="0013623E">
            <w:pPr>
              <w:ind w:left="15"/>
              <w:jc w:val="center"/>
              <w:rPr>
                <w:szCs w:val="22"/>
                <w14:shadow w14:blurRad="50800" w14:dist="38100" w14:dir="2700000" w14:sx="100000" w14:sy="100000" w14:kx="0" w14:ky="0" w14:algn="tl">
                  <w14:srgbClr w14:val="000000">
                    <w14:alpha w14:val="60000"/>
                  </w14:srgbClr>
                </w14:shadow>
              </w:rPr>
            </w:pPr>
            <w:r w:rsidRPr="00E36213">
              <w:rPr>
                <w:szCs w:val="22"/>
              </w:rPr>
              <w:t>Sam GYLLING</w:t>
            </w:r>
          </w:p>
        </w:tc>
        <w:tc>
          <w:tcPr>
            <w:tcW w:w="3780" w:type="dxa"/>
            <w:tcMar>
              <w:top w:w="15" w:type="dxa"/>
              <w:left w:w="15" w:type="dxa"/>
              <w:bottom w:w="15" w:type="dxa"/>
              <w:right w:w="15" w:type="dxa"/>
            </w:tcMar>
            <w:vAlign w:val="center"/>
          </w:tcPr>
          <w:p w14:paraId="3E395483" w14:textId="0E8922A7" w:rsidR="00A23989" w:rsidRPr="00E36213" w:rsidRDefault="00381F52" w:rsidP="0013623E">
            <w:pPr>
              <w:ind w:left="15"/>
              <w:jc w:val="center"/>
              <w:rPr>
                <w:szCs w:val="22"/>
              </w:rPr>
            </w:pPr>
            <w:r w:rsidRPr="00E36213">
              <w:rPr>
                <w:szCs w:val="22"/>
              </w:rPr>
              <w:t>Michaela POLJOVKOVÁ</w:t>
            </w:r>
          </w:p>
        </w:tc>
      </w:tr>
    </w:tbl>
    <w:p w14:paraId="3E395489" w14:textId="427BCCBC" w:rsidR="00A23989" w:rsidRPr="00E36213" w:rsidRDefault="00A23989" w:rsidP="0013623E">
      <w:pPr>
        <w:jc w:val="both"/>
        <w:rPr>
          <w:szCs w:val="22"/>
        </w:rPr>
      </w:pPr>
      <w:bookmarkStart w:id="32" w:name="chk-paragraph-17_nodeId-1939635670"/>
      <w:bookmarkEnd w:id="30"/>
      <w:bookmarkEnd w:id="31"/>
    </w:p>
    <w:p w14:paraId="5E951466" w14:textId="77777777" w:rsidR="00381F52" w:rsidRPr="00E36213" w:rsidRDefault="00381F52" w:rsidP="0013623E">
      <w:pPr>
        <w:jc w:val="both"/>
        <w:rPr>
          <w:szCs w:val="22"/>
        </w:rPr>
      </w:pPr>
    </w:p>
    <w:p w14:paraId="3882D0C7" w14:textId="77777777" w:rsidR="00E36213" w:rsidRPr="00E36213" w:rsidRDefault="002B5333" w:rsidP="0013623E">
      <w:pPr>
        <w:jc w:val="both"/>
        <w:rPr>
          <w:szCs w:val="22"/>
        </w:rPr>
      </w:pPr>
      <w:r w:rsidRPr="00E36213">
        <w:rPr>
          <w:szCs w:val="22"/>
        </w:rPr>
        <w:t>According to Article 67 EUTMR, any party adversely affected by this decision has a right to appeal against this decision. According to Article 68 EUTMR, notice of appeal must be filed in writing at the Office within two months of the date of notification of this decision. It must be filed in the language of the proceedings in which the decision subject to appeal was taken. Furthermore, a written statement of the grounds for appeal must be filed within four months of the same date. The notice of appeal will be deemed to have been filed only when the appeal fee of EUR 720 has been paid.</w:t>
      </w:r>
      <w:bookmarkEnd w:id="32"/>
    </w:p>
    <w:sectPr w:rsidR="00E36213" w:rsidRPr="00E36213">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C0B8" w14:textId="77777777" w:rsidR="008520FD" w:rsidRDefault="008520FD">
      <w:r>
        <w:separator/>
      </w:r>
    </w:p>
  </w:endnote>
  <w:endnote w:type="continuationSeparator" w:id="0">
    <w:p w14:paraId="639CEC58" w14:textId="77777777" w:rsidR="008520FD" w:rsidRDefault="0085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1D4" w14:textId="77777777" w:rsidR="00E36213" w:rsidRDefault="00E362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E183" w14:textId="77777777" w:rsidR="00E36213" w:rsidRDefault="00E362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D22E" w14:textId="77777777" w:rsidR="00E36213" w:rsidRDefault="00E362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73C7" w14:textId="77777777" w:rsidR="008520FD" w:rsidRDefault="008520FD">
      <w:r>
        <w:separator/>
      </w:r>
    </w:p>
  </w:footnote>
  <w:footnote w:type="continuationSeparator" w:id="0">
    <w:p w14:paraId="1F3B37C0" w14:textId="77777777" w:rsidR="008520FD" w:rsidRDefault="00852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7BC5" w14:textId="77777777" w:rsidR="00E36213" w:rsidRDefault="00E362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5491" w14:textId="77777777" w:rsidR="00A23989" w:rsidRDefault="002B5333">
    <w:pPr>
      <w:pBdr>
        <w:bottom w:val="single" w:sz="6" w:space="1" w:color="595959"/>
      </w:pBdr>
      <w:tabs>
        <w:tab w:val="right" w:pos="9000"/>
      </w:tabs>
    </w:pPr>
    <w:r>
      <w:t xml:space="preserve">Decision on Opposition No </w:t>
    </w:r>
    <w:r>
      <w:rPr>
        <w:b/>
        <w:bCs/>
      </w:rPr>
      <w:t>B 3 229 304</w:t>
    </w:r>
    <w:r>
      <w:tab/>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5492" w14:textId="77777777" w:rsidR="00A23989" w:rsidRDefault="002B5333">
    <w:r>
      <w:rPr>
        <w:noProof/>
      </w:rPr>
      <w:drawing>
        <wp:inline distT="0" distB="0" distL="0" distR="0" wp14:anchorId="3E395495" wp14:editId="3E395496">
          <wp:extent cx="1587500" cy="432448"/>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432448"/>
                  </a:xfrm>
                  <a:prstGeom prst="rect">
                    <a:avLst/>
                  </a:prstGeom>
                </pic:spPr>
              </pic:pic>
            </a:graphicData>
          </a:graphic>
        </wp:inline>
      </w:drawing>
    </w:r>
  </w:p>
  <w:p w14:paraId="3E395493" w14:textId="77777777" w:rsidR="00A23989" w:rsidRDefault="002B5333">
    <w:pPr>
      <w:pBdr>
        <w:bottom w:val="single" w:sz="6" w:space="1" w:color="595959"/>
      </w:pBdr>
      <w:jc w:val="right"/>
    </w:pPr>
    <w:r>
      <w:rPr>
        <w:color w:val="595959"/>
        <w:sz w:val="18"/>
      </w:rPr>
      <w:t>OPPOSITION DIVISION</w:t>
    </w:r>
  </w:p>
  <w:p w14:paraId="3E395494" w14:textId="77777777" w:rsidR="00A23989" w:rsidRDefault="00A23989">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35C"/>
    <w:multiLevelType w:val="multilevel"/>
    <w:tmpl w:val="FEF00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3113593">
    <w:abstractNumId w:val="2"/>
  </w:num>
  <w:num w:numId="2" w16cid:durableId="1763649536">
    <w:abstractNumId w:val="1"/>
  </w:num>
  <w:num w:numId="3" w16cid:durableId="128892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89"/>
    <w:rsid w:val="0006389B"/>
    <w:rsid w:val="0013623E"/>
    <w:rsid w:val="002B5333"/>
    <w:rsid w:val="00301811"/>
    <w:rsid w:val="0035789F"/>
    <w:rsid w:val="00381F52"/>
    <w:rsid w:val="004866FD"/>
    <w:rsid w:val="00490C3A"/>
    <w:rsid w:val="004E2331"/>
    <w:rsid w:val="00515974"/>
    <w:rsid w:val="005B0DB6"/>
    <w:rsid w:val="006C2E4D"/>
    <w:rsid w:val="00715198"/>
    <w:rsid w:val="007214D7"/>
    <w:rsid w:val="00737BAF"/>
    <w:rsid w:val="00791584"/>
    <w:rsid w:val="007D27B1"/>
    <w:rsid w:val="00800B51"/>
    <w:rsid w:val="008520FD"/>
    <w:rsid w:val="00911CB8"/>
    <w:rsid w:val="009D2335"/>
    <w:rsid w:val="00A23989"/>
    <w:rsid w:val="00A620F6"/>
    <w:rsid w:val="00AA2B97"/>
    <w:rsid w:val="00AA7C6D"/>
    <w:rsid w:val="00B31673"/>
    <w:rsid w:val="00C65F39"/>
    <w:rsid w:val="00C7576F"/>
    <w:rsid w:val="00C75B1F"/>
    <w:rsid w:val="00CA584B"/>
    <w:rsid w:val="00D71DB8"/>
    <w:rsid w:val="00E1749E"/>
    <w:rsid w:val="00E23814"/>
    <w:rsid w:val="00E36213"/>
    <w:rsid w:val="00F71F36"/>
    <w:rsid w:val="00F90D62"/>
    <w:rsid w:val="00F917E3"/>
    <w:rsid w:val="00F9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537C"/>
  <w15:docId w15:val="{88C0A03F-9AF6-4D58-800F-86BF2FC3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156082" w:themeColor="accent1"/>
      <w:sz w:val="18"/>
      <w:szCs w:val="18"/>
    </w:rPr>
  </w:style>
  <w:style w:type="character" w:styleId="Marquedecommentaire">
    <w:name w:val="annotation reference"/>
    <w:basedOn w:val="Policepardfaut"/>
    <w:uiPriority w:val="99"/>
    <w:semiHidden/>
    <w:unhideWhenUsed/>
    <w:rsid w:val="00301811"/>
    <w:rPr>
      <w:sz w:val="16"/>
      <w:szCs w:val="16"/>
    </w:rPr>
  </w:style>
  <w:style w:type="paragraph" w:styleId="Commentaire">
    <w:name w:val="annotation text"/>
    <w:basedOn w:val="Normal"/>
    <w:link w:val="CommentaireCar"/>
    <w:uiPriority w:val="99"/>
    <w:unhideWhenUsed/>
    <w:rsid w:val="00301811"/>
    <w:rPr>
      <w:sz w:val="20"/>
    </w:rPr>
  </w:style>
  <w:style w:type="character" w:customStyle="1" w:styleId="CommentaireCar">
    <w:name w:val="Commentaire Car"/>
    <w:basedOn w:val="Policepardfaut"/>
    <w:link w:val="Commentaire"/>
    <w:uiPriority w:val="99"/>
    <w:rsid w:val="00301811"/>
    <w:rPr>
      <w:sz w:val="20"/>
    </w:rPr>
  </w:style>
  <w:style w:type="paragraph" w:styleId="Objetducommentaire">
    <w:name w:val="annotation subject"/>
    <w:basedOn w:val="Commentaire"/>
    <w:next w:val="Commentaire"/>
    <w:link w:val="ObjetducommentaireCar"/>
    <w:uiPriority w:val="99"/>
    <w:semiHidden/>
    <w:unhideWhenUsed/>
    <w:rsid w:val="00301811"/>
    <w:rPr>
      <w:b/>
      <w:bCs/>
    </w:rPr>
  </w:style>
  <w:style w:type="character" w:customStyle="1" w:styleId="ObjetducommentaireCar">
    <w:name w:val="Objet du commentaire Car"/>
    <w:basedOn w:val="CommentaireCar"/>
    <w:link w:val="Objetducommentaire"/>
    <w:uiPriority w:val="99"/>
    <w:semiHidden/>
    <w:rsid w:val="00301811"/>
    <w:rPr>
      <w:b/>
      <w:bCs/>
      <w:sz w:val="20"/>
    </w:rPr>
  </w:style>
  <w:style w:type="paragraph" w:styleId="Rvision">
    <w:name w:val="Revision"/>
    <w:hidden/>
    <w:uiPriority w:val="99"/>
    <w:unhideWhenUsed/>
    <w:rsid w:val="0013623E"/>
  </w:style>
  <w:style w:type="paragraph" w:styleId="Pieddepage">
    <w:name w:val="footer"/>
    <w:basedOn w:val="Normal"/>
    <w:link w:val="PieddepageCar"/>
    <w:uiPriority w:val="99"/>
    <w:unhideWhenUsed/>
    <w:rsid w:val="00E36213"/>
    <w:pPr>
      <w:tabs>
        <w:tab w:val="center" w:pos="4513"/>
        <w:tab w:val="right" w:pos="9026"/>
      </w:tabs>
    </w:pPr>
  </w:style>
  <w:style w:type="character" w:customStyle="1" w:styleId="PieddepageCar">
    <w:name w:val="Pied de page Car"/>
    <w:basedOn w:val="Policepardfaut"/>
    <w:link w:val="Pieddepage"/>
    <w:uiPriority w:val="99"/>
    <w:rsid w:val="00E36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0158997093</Document_x0020_Identification_x0020_Number>
    <Description xmlns="0e656187-b300-4fb0-8bf4-3a50f8720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IPO Document" ma:contentTypeID="0x010100ACF15A5B4DAD459694E4863EBEFE5C11"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D64474C-AECE-47E1-9BD0-3A46153D3FF5}">
  <ds:schemaRefs>
    <ds:schemaRef ds:uri="http://schemas.microsoft.com/office/2006/metadata/properties"/>
    <ds:schemaRef ds:uri="http://schemas.microsoft.com/office/infopath/2007/PartnerControls"/>
    <ds:schemaRef ds:uri="0e656187-b300-4fb0-8bf4-3a50f872073c"/>
  </ds:schemaRefs>
</ds:datastoreItem>
</file>

<file path=customXml/itemProps2.xml><?xml version="1.0" encoding="utf-8"?>
<ds:datastoreItem xmlns:ds="http://schemas.openxmlformats.org/officeDocument/2006/customXml" ds:itemID="{8FE6506E-11E8-4C9D-A103-CC505115E920}">
  <ds:schemaRefs>
    <ds:schemaRef ds:uri="http://schemas.microsoft.com/sharepoint/v3/contenttype/forms"/>
  </ds:schemaRefs>
</ds:datastoreItem>
</file>

<file path=customXml/itemProps3.xml><?xml version="1.0" encoding="utf-8"?>
<ds:datastoreItem xmlns:ds="http://schemas.openxmlformats.org/officeDocument/2006/customXml" ds:itemID="{EDF4F39B-E7AB-4E2F-96ED-063742B7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2157</Words>
  <Characters>11152</Characters>
  <Application>Microsoft Office Word</Application>
  <DocSecurity>0</DocSecurity>
  <Lines>265</Lines>
  <Paragraphs>83</Paragraphs>
  <ScaleCrop>false</ScaleCrop>
  <HeadingPairs>
    <vt:vector size="2" baseType="variant">
      <vt:variant>
        <vt:lpstr>Title</vt:lpstr>
      </vt:variant>
      <vt:variant>
        <vt:i4>1</vt:i4>
      </vt:variant>
    </vt:vector>
  </HeadingPairs>
  <TitlesOfParts>
    <vt:vector size="1" baseType="lpstr">
      <vt:lpstr>B3229304-EN-JNANEL.docx</vt:lpstr>
    </vt:vector>
  </TitlesOfParts>
  <Company>EUIPO</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B3229304-EN-JNANEL.docx</dc:title>
  <cp:lastModifiedBy>Julie CURTO</cp:lastModifiedBy>
  <cp:revision>3</cp:revision>
  <dcterms:created xsi:type="dcterms:W3CDTF">2025-12-12T16:44:00Z</dcterms:created>
  <dcterms:modified xsi:type="dcterms:W3CDTF">2025-12-29T13:54:00Z</dcterms:modified>
</cp:coreProperties>
</file>